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ivic_inte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CIVIC//INTEL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Run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docker compose up --build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Open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http://localhost:3000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and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http://localhost:8000/docs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PostgreSQL is the persistence layer; SQLAlchemy creates tables and seed data on startup. Demo password: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demo123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AI_PROVIDER=local is a deterministic provider abstraction fallback. Real external AI, pgvector embeddings, PostGIS, object storage, async queues, and real map tiles are not required for this runnable baseline and are not enabled.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ocalhost:3000" TargetMode="External"/><Relationship Id="rId6" Type="http://schemas.openxmlformats.org/officeDocument/2006/relationships/hyperlink" Target="http://localhost:8000/doc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2026-08-17T19:19:49.713Z</dcterms:created>
  <dcterms:modified xsi:type="dcterms:W3CDTF">2026-08-17T19:19:49.713Z</dcterms:modified>
</cp:coreProperties>
</file>