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assistant lead, senior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the IT Industry within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evelopment to leverage analytical skills for mutual growth, preferably in Delhi/NCR and Northern-India Region.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(8-21)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Spring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Boot and module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ReactJS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Redux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Micro-services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83FBA03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374D85E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1B2B5D34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3 years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7 months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MySQL, and Git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.</w:t>
            </w:r>
          </w:p>
          <w:p w14:paraId="1C4D3FFA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Contributing in Full Stack Development, showcasing proficiency in Java</w:t>
            </w:r>
            <w:r>
              <w:rPr>
                <w:rFonts w:hint="default" w:asciiTheme="majorHAnsi" w:hAnsiTheme="majorHAnsi" w:cstheme="minorBidi"/>
                <w:color w:val="auto"/>
                <w:spacing w:val="-6"/>
                <w:sz w:val="20"/>
                <w:szCs w:val="20"/>
                <w:lang w:val="en-US"/>
              </w:rPr>
              <w:t>, JS,  TS, and DB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.  </w:t>
            </w:r>
          </w:p>
          <w:p w14:paraId="5A9C1935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IT professional committed to documentation processes, ensuring adherence to protocols for seamless process and enhanced efficiency.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 calendar-based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management workload and a 20% increase in revenue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architecture, ensuring optimal performance and flexibility in application development.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teams.</w:t>
            </w:r>
          </w:p>
          <w:p w14:paraId="2A9C82B5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Specialized in utilizing the Salesforce platform to streamline processes and enhance efficiency, successfully implementing solutions in various projects.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Service + Procude based)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24-Till date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(TypeScript),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Built IntellyMind, an AI-powered web application using Spring Boot microservices and React-js (TS), enabling real-time insights with 99.9% uptime.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Currently developing a Customer Support Portal for LyncWyze with Next.js (TS) and Spring Boot, expected to reduce ticket resolution time by 25%. 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  <w:bookmarkStart w:id="0" w:name="_GoBack"/>
            <w:bookmarkEnd w:id="0"/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(Telemedicine Home-Based Health Care)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Full-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tack Developer (EL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-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II)] | Feb 22 –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May 24</w:t>
            </w:r>
          </w:p>
          <w:p w14:paraId="7C656860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 efficiency and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healthcare products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 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development.</w:t>
            </w:r>
          </w:p>
          <w:p w14:paraId="37F686EE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 New Delhi (</w:t>
            </w:r>
            <w:r>
              <w:rPr>
                <w:b/>
              </w:rPr>
              <w:t>Digitization Services to Indian Government)</w:t>
            </w:r>
            <w:r>
              <w:rPr>
                <w:rFonts w:hint="default"/>
                <w:b/>
                <w:lang w:val="en-US"/>
              </w:rPr>
              <w:t xml:space="preserve">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October 2021 – January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Style w:val="22"/>
                <w:rFonts w:hint="default"/>
                <w:b/>
                <w:lang w:val="en-US"/>
              </w:rPr>
              <w:t>Freelance</w:t>
            </w:r>
            <w:r>
              <w:rPr>
                <w:rStyle w:val="22"/>
                <w:b/>
              </w:rPr>
              <w:t xml:space="preserve">, Delhi 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As 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0"/>
              <w:gridCol w:w="6120"/>
              <w:gridCol w:w="5473"/>
            </w:tblGrid>
            <w:tr w14:paraId="155760B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40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6120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(Online) | 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BCA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IGNOU (Correspondence) | 2018 – 2021 | CGPA: 6.75</w:t>
            </w:r>
          </w:p>
          <w:p w14:paraId="26BAA01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GNIIT (Cloud and Mobile Software Engineering in Web Development)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from NIIT | 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</w:tbl>
    <w:p w14:paraId="336F83DF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85A276B"/>
    <w:rsid w:val="0862654D"/>
    <w:rsid w:val="087D297A"/>
    <w:rsid w:val="08F47141"/>
    <w:rsid w:val="092669FE"/>
    <w:rsid w:val="09B01A72"/>
    <w:rsid w:val="0A596016"/>
    <w:rsid w:val="0ADC6C9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CE2D1D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C236D7"/>
    <w:rsid w:val="30DE49BA"/>
    <w:rsid w:val="30EA404F"/>
    <w:rsid w:val="316350FE"/>
    <w:rsid w:val="31F36A80"/>
    <w:rsid w:val="32160058"/>
    <w:rsid w:val="324844D9"/>
    <w:rsid w:val="342B49A6"/>
    <w:rsid w:val="344833BF"/>
    <w:rsid w:val="34B74238"/>
    <w:rsid w:val="35577112"/>
    <w:rsid w:val="35673B29"/>
    <w:rsid w:val="3665184D"/>
    <w:rsid w:val="36956799"/>
    <w:rsid w:val="36F668C1"/>
    <w:rsid w:val="372F4799"/>
    <w:rsid w:val="38F36EB6"/>
    <w:rsid w:val="39093C9F"/>
    <w:rsid w:val="395B6028"/>
    <w:rsid w:val="3A021CB9"/>
    <w:rsid w:val="3A52592F"/>
    <w:rsid w:val="3A8A671A"/>
    <w:rsid w:val="3AFE0C57"/>
    <w:rsid w:val="3B34332F"/>
    <w:rsid w:val="3C067321"/>
    <w:rsid w:val="3C1B5BAC"/>
    <w:rsid w:val="3C7030B7"/>
    <w:rsid w:val="3C764FC0"/>
    <w:rsid w:val="3C9C3B7B"/>
    <w:rsid w:val="3CB0609F"/>
    <w:rsid w:val="3D764B63"/>
    <w:rsid w:val="3DB3244A"/>
    <w:rsid w:val="3DFE0FBD"/>
    <w:rsid w:val="3F6B5F18"/>
    <w:rsid w:val="3FA52BFA"/>
    <w:rsid w:val="402E695E"/>
    <w:rsid w:val="40495906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DD2A92"/>
    <w:rsid w:val="56FD2198"/>
    <w:rsid w:val="57081358"/>
    <w:rsid w:val="57194E75"/>
    <w:rsid w:val="57844525"/>
    <w:rsid w:val="580239A1"/>
    <w:rsid w:val="585C7DCC"/>
    <w:rsid w:val="5876152E"/>
    <w:rsid w:val="5A5752C7"/>
    <w:rsid w:val="5A95732A"/>
    <w:rsid w:val="5B6E700E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F2B1033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72E7154"/>
    <w:rsid w:val="680D5249"/>
    <w:rsid w:val="68112FCA"/>
    <w:rsid w:val="69F95902"/>
    <w:rsid w:val="6B670AC3"/>
    <w:rsid w:val="6B7042C0"/>
    <w:rsid w:val="6BCA2D65"/>
    <w:rsid w:val="6BF31EEA"/>
    <w:rsid w:val="6C5D5B58"/>
    <w:rsid w:val="6C784183"/>
    <w:rsid w:val="6CC16C42"/>
    <w:rsid w:val="6CE02CFC"/>
    <w:rsid w:val="6D270AA3"/>
    <w:rsid w:val="6ED36561"/>
    <w:rsid w:val="6EDB5B6B"/>
    <w:rsid w:val="6F414BF8"/>
    <w:rsid w:val="6F8040FB"/>
    <w:rsid w:val="702C7A97"/>
    <w:rsid w:val="705B2B64"/>
    <w:rsid w:val="70C251BD"/>
    <w:rsid w:val="70C71E93"/>
    <w:rsid w:val="70E92F39"/>
    <w:rsid w:val="715B2707"/>
    <w:rsid w:val="72A72729"/>
    <w:rsid w:val="732145F1"/>
    <w:rsid w:val="73403702"/>
    <w:rsid w:val="73686F64"/>
    <w:rsid w:val="73BA34EB"/>
    <w:rsid w:val="7472072D"/>
    <w:rsid w:val="7474619D"/>
    <w:rsid w:val="748B51D6"/>
    <w:rsid w:val="75F80517"/>
    <w:rsid w:val="765A4D38"/>
    <w:rsid w:val="76E25CB9"/>
    <w:rsid w:val="78724169"/>
    <w:rsid w:val="78A83684"/>
    <w:rsid w:val="78AA6B87"/>
    <w:rsid w:val="78AF6EF2"/>
    <w:rsid w:val="78BB7BE1"/>
    <w:rsid w:val="793357E6"/>
    <w:rsid w:val="797D10DD"/>
    <w:rsid w:val="797E23E2"/>
    <w:rsid w:val="798A4480"/>
    <w:rsid w:val="79DA230D"/>
    <w:rsid w:val="79EA1711"/>
    <w:rsid w:val="7ABA0AE5"/>
    <w:rsid w:val="7B3559DB"/>
    <w:rsid w:val="7B585393"/>
    <w:rsid w:val="7B5C60F0"/>
    <w:rsid w:val="7B5F4AF6"/>
    <w:rsid w:val="7C245B39"/>
    <w:rsid w:val="7C5807CC"/>
    <w:rsid w:val="7C661E25"/>
    <w:rsid w:val="7C7D32DF"/>
    <w:rsid w:val="7D3461CD"/>
    <w:rsid w:val="7D8E2B8C"/>
    <w:rsid w:val="7DD60D82"/>
    <w:rsid w:val="7E4D4360"/>
    <w:rsid w:val="7E753F6F"/>
    <w:rsid w:val="7EA71A11"/>
    <w:rsid w:val="7EB96EE8"/>
    <w:rsid w:val="7EC5068B"/>
    <w:rsid w:val="7ED379A0"/>
    <w:rsid w:val="7F7D23B8"/>
    <w:rsid w:val="7FA6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760</Words>
  <Characters>4834</Characters>
  <Lines>42</Lines>
  <Paragraphs>11</Paragraphs>
  <TotalTime>0</TotalTime>
  <ScaleCrop>false</ScaleCrop>
  <LinksUpToDate>false</LinksUpToDate>
  <CharactersWithSpaces>5507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2024-05-14T11:38:00Z</dcterms:created>
  <dc:creator>Preeti Arora</dc:creator>
  <cp:lastModifiedBy>UjjwalPandey</cp:lastModifiedBy>
  <dcterms:modified xsi:type="dcterms:W3CDTF">2025-05-12T11:17:44Z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9241BABCE0934764B097FDF2CCA3B51E_12</vt:lpwstr>
  </property>
</Properties>
</file>