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F105F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drawing>
          <wp:inline distT="0" distB="0" distL="114300" distR="114300">
            <wp:extent cx="5970270" cy="3539490"/>
            <wp:effectExtent l="0" t="0" r="3810" b="11430"/>
            <wp:docPr id="2" name="Picture 2" descr="Screenshot 2025-10-12 093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12 0937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16EA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07C0E66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5EF31DE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drawing>
          <wp:inline distT="0" distB="0" distL="114300" distR="114300">
            <wp:extent cx="6024880" cy="4370705"/>
            <wp:effectExtent l="0" t="0" r="10160" b="3175"/>
            <wp:docPr id="3" name="Picture 3" descr="Screenshot 2025-10-12 09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10-12 0935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8B7B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B8D98B3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90DA8E6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4178F3FE"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Introduction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This project focuses on analyzing company sales performance and customer behavior through two connected dashboards: 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Sales Overview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Customer Analysis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 The goal was to provide leadership and sales teams with a clear, interactive view of revenue trends, top products, and customer engagement.</w:t>
      </w:r>
    </w:p>
    <w:p w14:paraId="6F2C6DFB">
      <w:pPr>
        <w:keepNext w:val="0"/>
        <w:keepLines w:val="0"/>
        <w:widowControl/>
        <w:suppressLineNumbers w:val="0"/>
        <w:pBdr>
          <w:top w:val="single" w:color="E8E8E8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264" w:afterAutospacing="0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</w:p>
    <w:p w14:paraId="1B8F2437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4" w:lineRule="atLeast"/>
        <w:ind w:left="0" w:right="0" w:firstLine="0"/>
        <w:jc w:val="both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Insights Shown in the Dashboards</w:t>
      </w:r>
    </w:p>
    <w:p w14:paraId="4DD0775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Sales Overview</w:t>
      </w:r>
    </w:p>
    <w:p w14:paraId="3A18925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EDE8DC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Total Revenue Performance: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Revenue of </w:t>
      </w: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8.3M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across nearly </w:t>
      </w: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398Ktransactions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4.4K customers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 w14:paraId="688E047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76B524B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Top Markets: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The Netherlands contributes the highest average revenue, followed by EIRE, Germany, France, and the UK.</w:t>
      </w:r>
    </w:p>
    <w:p w14:paraId="286C25D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02E175C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Best-Selling Products: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Key SKUs like 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85099B, 84879, and 85123A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drive strong sales volumes</w:t>
      </w:r>
    </w:p>
    <w:p w14:paraId="1078BB6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 w14:paraId="3A7A4C7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Product Revenue Leaders: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Items like 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Regency C.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White Hanging Heart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generate the highest sales.</w:t>
      </w:r>
    </w:p>
    <w:p w14:paraId="3F1D5CE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57C8508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Seasonality &amp; Growth: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Revenue trends rise sharply in Q4, with December being the strongest month — useful for planning stock and marketing campaigns.</w:t>
      </w:r>
    </w:p>
    <w:p w14:paraId="3E73F06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0B7F6ED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Customer Analysis</w:t>
      </w:r>
    </w:p>
    <w:p w14:paraId="1660BDC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Customer Demographics: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Germany and France have the largest customer bases, with strong representation also from Spain, Belgium, and Switzerland.</w:t>
      </w:r>
    </w:p>
    <w:p w14:paraId="508EA19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344C1AB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Customer Lifetime Value: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Average CLV stands at </w:t>
      </w: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1.9K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 highlighting valuable repeat buyers.</w:t>
      </w:r>
    </w:p>
    <w:p w14:paraId="3C73233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7D4747E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Top Customers: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 handful of customers (IDs 14646, 18102, 17450) contribute disproportionately high revenue.</w:t>
      </w:r>
    </w:p>
    <w:p w14:paraId="76EDDF8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3D5B655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Purchase Frequency: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Most active customers make between 5–8K purchases, offering insight into loyalty and engagement.</w:t>
      </w:r>
    </w:p>
    <w:p w14:paraId="4BA9603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Monthly Growth: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Customer acquisition accelerates toward the end of the year, peaking in November–December.</w:t>
      </w:r>
    </w:p>
    <w:p w14:paraId="44A36EAA">
      <w:pPr>
        <w:keepNext w:val="0"/>
        <w:keepLines w:val="0"/>
        <w:widowControl/>
        <w:suppressLineNumbers w:val="0"/>
        <w:pBdr>
          <w:top w:val="single" w:color="E8E8E8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264" w:afterAutospacing="0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</w:p>
    <w:p w14:paraId="2D3AE941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4" w:lineRule="atLeast"/>
        <w:ind w:left="0" w:right="0" w:firstLine="0"/>
        <w:jc w:val="both"/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Key Features &amp; Highlights</w:t>
      </w:r>
    </w:p>
    <w:p w14:paraId="0FB249E7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8E7293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Dual Dashboards: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Seamless navigation between 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Sales Overview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Customer Analysis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for different business perspectives.</w:t>
      </w:r>
    </w:p>
    <w:p w14:paraId="77C66E4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61B8A95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Dynamic KPIs: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Key metrics (Revenue, Transactions, Order Value, CLV) update instantly based on slicer selections.</w:t>
      </w:r>
    </w:p>
    <w:p w14:paraId="2643E0F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E9CDCB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Country &amp; Product Filters: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Flexible analysis across geographies and product categories.</w:t>
      </w:r>
    </w:p>
    <w:p w14:paraId="7D568A6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8CD4E9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Interactive Visuals: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Line charts reveal seasonal patterns; bar charts highlight top performers; tables provide granular breakdowns.</w:t>
      </w:r>
    </w:p>
    <w:p w14:paraId="1F28772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669E7F0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User-Friendly Design: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 clean, consistent layout with high-contrast KPIs ensures clarity even for non-technical users</w:t>
      </w:r>
    </w:p>
    <w:p w14:paraId="5FF6E7DE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D68CE12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F90B46E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E9EA86B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5E2F249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BC9F49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63E5D46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247948F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0AB00B2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63DFFA1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B0AE781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3000C2E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9470C74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FDEF52A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7AB888F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9D0FF00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D6FC48F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2423DF3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D5AF85D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F7009D6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17235" cy="49377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73E6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F4AB71C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26D5AAE"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661257A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Overall Performance Summary</w:t>
      </w:r>
    </w:p>
    <w:p w14:paraId="06D24B49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1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Overall Performance Summary</w:t>
      </w:r>
    </w:p>
    <w:p w14:paraId="20A8AA77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Total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Revenue:</w:t>
      </w:r>
      <w:r>
        <w:rPr>
          <w:rFonts w:hint="default" w:ascii="Times New Roman" w:hAnsi="Times New Roman" w:cs="Times New Roman"/>
          <w:sz w:val="28"/>
          <w:szCs w:val="28"/>
        </w:rPr>
        <w:t xml:space="preserve"> ₹2.30M</w:t>
      </w:r>
    </w:p>
    <w:p w14:paraId="23B5C2B8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Profit:</w:t>
      </w:r>
      <w:r>
        <w:rPr>
          <w:rFonts w:hint="default" w:ascii="Times New Roman" w:hAnsi="Times New Roman" w:cs="Times New Roman"/>
          <w:sz w:val="28"/>
          <w:szCs w:val="28"/>
        </w:rPr>
        <w:t xml:space="preserve"> ₹286.40K</w:t>
      </w:r>
    </w:p>
    <w:p w14:paraId="4F15C922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Transactions:</w:t>
      </w:r>
      <w:r>
        <w:rPr>
          <w:rFonts w:hint="default" w:ascii="Times New Roman" w:hAnsi="Times New Roman" w:cs="Times New Roman"/>
          <w:sz w:val="28"/>
          <w:szCs w:val="28"/>
        </w:rPr>
        <w:t xml:space="preserve"> 38K</w:t>
      </w:r>
    </w:p>
    <w:p w14:paraId="7F093CF9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Customers:</w:t>
      </w:r>
      <w:r>
        <w:rPr>
          <w:rFonts w:hint="default" w:ascii="Times New Roman" w:hAnsi="Times New Roman" w:cs="Times New Roman"/>
          <w:sz w:val="28"/>
          <w:szCs w:val="28"/>
        </w:rPr>
        <w:t xml:space="preserve"> 793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This shows a healthy revenue per customer ratio of nearly ₹2,900, indicating strong customer monetization.</w:t>
      </w:r>
    </w:p>
    <w:p w14:paraId="2D8EFBA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BFA0DA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2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Revenue Segmentation</w:t>
      </w:r>
    </w:p>
    <w:p w14:paraId="44D5E533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3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Home Office Segment:</w:t>
      </w:r>
      <w:r>
        <w:rPr>
          <w:rFonts w:hint="default" w:ascii="Times New Roman" w:hAnsi="Times New Roman" w:cs="Times New Roman"/>
          <w:sz w:val="28"/>
          <w:szCs w:val="28"/>
        </w:rPr>
        <w:t xml:space="preserve"> ₹429.65K (highest revenue)</w:t>
      </w:r>
    </w:p>
    <w:p w14:paraId="5FE0379E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Consumer Segment:</w:t>
      </w:r>
      <w:r>
        <w:rPr>
          <w:rFonts w:hint="default" w:ascii="Times New Roman" w:hAnsi="Times New Roman" w:cs="Times New Roman"/>
          <w:sz w:val="28"/>
          <w:szCs w:val="28"/>
        </w:rPr>
        <w:t xml:space="preserve"> ₹1.11M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The “Home Office” segment is the most profitable, suggesting that targeting home-based professionals yields better margins.</w:t>
      </w:r>
    </w:p>
    <w:p w14:paraId="0330B58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C6BAAE4">
      <w:pPr>
        <w:pStyle w:val="12"/>
        <w:keepNext w:val="0"/>
        <w:keepLines w:val="0"/>
        <w:widowControl/>
        <w:suppressLineNumbers w:val="0"/>
        <w:ind w:firstLine="141" w:firstLineChars="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4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Regional Performance</w:t>
      </w:r>
    </w:p>
    <w:p w14:paraId="0B649663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South Region</w:t>
      </w:r>
      <w:r>
        <w:rPr>
          <w:rFonts w:hint="default" w:ascii="Times New Roman" w:hAnsi="Times New Roman" w:cs="Times New Roman"/>
          <w:sz w:val="28"/>
          <w:szCs w:val="28"/>
        </w:rPr>
        <w:t xml:space="preserve"> leads with ₹678.3K revenue (≈30%)</w:t>
      </w:r>
    </w:p>
    <w:p w14:paraId="1873B13B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East Region</w:t>
      </w:r>
      <w:r>
        <w:rPr>
          <w:rFonts w:hint="default" w:ascii="Times New Roman" w:hAnsi="Times New Roman" w:cs="Times New Roman"/>
          <w:sz w:val="28"/>
          <w:szCs w:val="28"/>
        </w:rPr>
        <w:t xml:space="preserve"> has the lowest with ₹391.2K (≈17%)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Southern states are the key revenue drivers — expansion in East can be an untapped growth opportunity.</w:t>
      </w:r>
    </w:p>
    <w:p w14:paraId="172722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661EBCF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5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Profit Distribution by Region</w:t>
      </w:r>
    </w:p>
    <w:p w14:paraId="7F70A0E2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South Central Region</w:t>
      </w:r>
      <w:r>
        <w:rPr>
          <w:rFonts w:hint="default" w:ascii="Times New Roman" w:hAnsi="Times New Roman" w:cs="Times New Roman"/>
          <w:sz w:val="28"/>
          <w:szCs w:val="28"/>
        </w:rPr>
        <w:t xml:space="preserve"> contributes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37% of total profit</w:t>
      </w:r>
      <w:r>
        <w:rPr>
          <w:rFonts w:hint="default" w:ascii="Times New Roman" w:hAnsi="Times New Roman" w:cs="Times New Roman"/>
          <w:sz w:val="28"/>
          <w:szCs w:val="28"/>
        </w:rPr>
        <w:t>, the highest among all regions.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Focusing marketing spend here could yield higher ROI due to strong profitability.</w:t>
      </w:r>
    </w:p>
    <w:p w14:paraId="09AE548A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6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Category-Wise Growth (YoY)</w:t>
      </w:r>
    </w:p>
    <w:p w14:paraId="0DB25554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Technology-related categories (Phones, Machines, Chairs)</w:t>
      </w:r>
      <w:r>
        <w:rPr>
          <w:rFonts w:hint="default" w:ascii="Times New Roman" w:hAnsi="Times New Roman" w:cs="Times New Roman"/>
          <w:sz w:val="28"/>
          <w:szCs w:val="28"/>
        </w:rPr>
        <w:t xml:space="preserve"> show consistent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year-over-year growth.</w:t>
      </w:r>
    </w:p>
    <w:p w14:paraId="4033FC3C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Office Supplies</w:t>
      </w:r>
      <w:r>
        <w:rPr>
          <w:rFonts w:hint="default" w:ascii="Times New Roman" w:hAnsi="Times New Roman" w:cs="Times New Roman"/>
          <w:sz w:val="28"/>
          <w:szCs w:val="28"/>
        </w:rPr>
        <w:t xml:space="preserve"> had a slight dip, indicating saturation.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Diversifying product lines beyond traditional office supplies is crucial for sustained growth.</w:t>
      </w:r>
    </w:p>
    <w:p w14:paraId="6F4BF8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FA92AF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7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Top Performing Sub-Categories</w:t>
      </w:r>
    </w:p>
    <w:p w14:paraId="72F8B6BD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Phones:</w:t>
      </w:r>
      <w:r>
        <w:rPr>
          <w:rFonts w:hint="default" w:ascii="Times New Roman" w:hAnsi="Times New Roman" w:cs="Times New Roman"/>
          <w:sz w:val="28"/>
          <w:szCs w:val="28"/>
        </w:rPr>
        <w:t xml:space="preserve"> ₹320.0K revenue, ₹46.5K profit</w:t>
      </w:r>
    </w:p>
    <w:p w14:paraId="005C278F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Chairs:</w:t>
      </w:r>
      <w:r>
        <w:rPr>
          <w:rFonts w:hint="default" w:ascii="Times New Roman" w:hAnsi="Times New Roman" w:cs="Times New Roman"/>
          <w:sz w:val="28"/>
          <w:szCs w:val="28"/>
        </w:rPr>
        <w:t xml:space="preserve"> ₹289.4K revenue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Phones and Chairs are revenue anchors — focusing on bulk discounts or combo offers here can maximize profit.</w:t>
      </w:r>
    </w:p>
    <w:p w14:paraId="7E370B8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1DF138E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8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State-Wise Revenue</w:t>
      </w:r>
    </w:p>
    <w:p w14:paraId="32CA69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96F1284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California</w:t>
      </w:r>
      <w:r>
        <w:rPr>
          <w:rFonts w:hint="default" w:ascii="Times New Roman" w:hAnsi="Times New Roman" w:cs="Times New Roman"/>
          <w:sz w:val="28"/>
          <w:szCs w:val="28"/>
        </w:rPr>
        <w:t xml:space="preserve"> dominates in revenue, followed by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New York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Texas.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High-tech and high-income states are driving performance — expansion strategy should prioritize these markets.</w:t>
      </w:r>
    </w:p>
    <w:p w14:paraId="1CC8F3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63E612E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9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Revenue Target Achievement</w:t>
      </w:r>
    </w:p>
    <w:p w14:paraId="0755E7C4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Achieved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2.30M</w:t>
      </w:r>
      <w:r>
        <w:rPr>
          <w:rFonts w:hint="default" w:ascii="Times New Roman" w:hAnsi="Times New Roman" w:cs="Times New Roman"/>
          <w:sz w:val="28"/>
          <w:szCs w:val="28"/>
        </w:rPr>
        <w:t xml:space="preserve"> out of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3.5M target (≈66%)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Current performance is strong but requires ~34% more to hit full target — suggests potential to improve conversion rate.</w:t>
      </w:r>
    </w:p>
    <w:p w14:paraId="69ECD13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84DAA83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Year-over-Year Revenue &amp; Profit Trend</w:t>
      </w:r>
    </w:p>
    <w:p w14:paraId="0517C2E6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Clear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upward trend from 2016 to 2018</w:t>
      </w:r>
      <w:r>
        <w:rPr>
          <w:rFonts w:hint="default" w:ascii="Times New Roman" w:hAnsi="Times New Roman" w:cs="Times New Roman"/>
          <w:sz w:val="28"/>
          <w:szCs w:val="28"/>
        </w:rPr>
        <w:t xml:space="preserve"> in both sales and profit.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Business has been scaling effectively — indicates sustainable growth and strong market acceptance.</w:t>
      </w:r>
    </w:p>
    <w:p w14:paraId="2D107448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10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Customer Insights</w:t>
      </w:r>
    </w:p>
    <w:p w14:paraId="56E63F90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Top 5 Customers:</w:t>
      </w:r>
      <w:r>
        <w:rPr>
          <w:rFonts w:hint="default" w:ascii="Times New Roman" w:hAnsi="Times New Roman" w:cs="Times New Roman"/>
          <w:sz w:val="28"/>
          <w:szCs w:val="28"/>
        </w:rPr>
        <w:t xml:space="preserve"> Adrian Barton, Raymond Rich, Sean Miller, Tamara Chand, Tom Ashbrook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A few key customers drive significant sales — implementing a loyalty or referral program could amplify customer retention.</w:t>
      </w:r>
    </w:p>
    <w:p w14:paraId="3E73A719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🔹 </w:t>
      </w:r>
      <w:r>
        <w:rPr>
          <w:rFonts w:hint="default" w:ascii="Times New Roman" w:hAnsi="Times New Roman" w:eastAsia="SimSun" w:cs="Times New Roman"/>
          <w:sz w:val="28"/>
          <w:szCs w:val="28"/>
        </w:rPr>
        <w:t>“From the analysis, I observed that our top 30% of regions and customers contribute to over 70% of total revenue — applying the 80/20 Pareto principle here can help optimize marketing and resource allocation.”</w:t>
      </w:r>
    </w:p>
    <w:p w14:paraId="7E188F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07DFA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EA5F8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9634D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FA8AA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6D67D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504C5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412AD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E703D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31740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675286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drawing>
          <wp:inline distT="0" distB="0" distL="114300" distR="114300">
            <wp:extent cx="5905500" cy="4105275"/>
            <wp:effectExtent l="0" t="0" r="7620" b="9525"/>
            <wp:docPr id="4" name="Picture 4" descr="Screenshot 2025-10-13 155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10-13 1555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6E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E32E2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77434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ABFA1FD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1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Overall Market Overview</w:t>
      </w:r>
    </w:p>
    <w:p w14:paraId="6B009927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Total Electric Vehicles: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150.42K</w:t>
      </w:r>
    </w:p>
    <w:p w14:paraId="4132A81B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 of which,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78% are BEVs (Battery Electric Vehicles)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22% are PHEVs (Plug-in Hybrid Electric Vehicles)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This indicates a strong consumer shift toward fully electric vehicles.</w:t>
      </w:r>
    </w:p>
    <w:p w14:paraId="7454FA2F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2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Average Vehicle Range</w:t>
      </w:r>
    </w:p>
    <w:p w14:paraId="479D5BEA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average range is 67.83 km per charge</w:t>
      </w:r>
      <w:r>
        <w:rPr>
          <w:rFonts w:hint="default" w:ascii="Times New Roman" w:hAnsi="Times New Roman" w:cs="Times New Roman"/>
          <w:sz w:val="28"/>
          <w:szCs w:val="28"/>
        </w:rPr>
        <w:t>, which reflects moderate performance suitable for urban use.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Future focus should be on improving battery efficiency and range to boost adoption.</w:t>
      </w:r>
    </w:p>
    <w:p w14:paraId="6F61F87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8FC5ED5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3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Tesla’s Market Dominance</w:t>
      </w:r>
    </w:p>
    <w:p w14:paraId="41030658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Tesla alone accounts for 68.94K vehicles (~46% of the total market)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Tesla continues to dominate the EV segment, setting benchmarks for innovation and performance.</w:t>
      </w:r>
    </w:p>
    <w:p w14:paraId="35833A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6FDF64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4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Top Manufacturers</w:t>
      </w:r>
    </w:p>
    <w:p w14:paraId="67C83E26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After Tesla,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Nissan (13K)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Chevrolet (12K)</w:t>
      </w:r>
      <w:r>
        <w:rPr>
          <w:rFonts w:hint="default" w:ascii="Times New Roman" w:hAnsi="Times New Roman" w:cs="Times New Roman"/>
          <w:sz w:val="28"/>
          <w:szCs w:val="28"/>
        </w:rPr>
        <w:t xml:space="preserve"> are the next key players, followed by Ford and BMW.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The market has a strong top-3 concentration — strategic partnerships or incentives could help other brands catch up.</w:t>
      </w:r>
    </w:p>
    <w:p w14:paraId="5CBBE98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8146A17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5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Year-Wise Growth Trend (2011–2024)</w:t>
      </w:r>
    </w:p>
    <w:p w14:paraId="70458563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EV registrations show exponential growth after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2017</w:t>
      </w:r>
      <w:r>
        <w:rPr>
          <w:rFonts w:hint="default" w:ascii="Times New Roman" w:hAnsi="Times New Roman" w:cs="Times New Roman"/>
          <w:sz w:val="28"/>
          <w:szCs w:val="28"/>
        </w:rPr>
        <w:t xml:space="preserve">, peaking at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37K in 2022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Government incentives and consumer awareness after 2018 clearly accelerated EV adoption.</w:t>
      </w:r>
    </w:p>
    <w:p w14:paraId="0D2182A7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6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City-Wise Vehicle Distribution</w:t>
      </w:r>
    </w:p>
    <w:p w14:paraId="1765C34C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Seattle</w:t>
      </w:r>
      <w:r>
        <w:rPr>
          <w:rFonts w:hint="default" w:ascii="Times New Roman" w:hAnsi="Times New Roman" w:cs="Times New Roman"/>
          <w:sz w:val="28"/>
          <w:szCs w:val="28"/>
        </w:rPr>
        <w:t xml:space="preserve"> leads with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26K EVs</w:t>
      </w:r>
      <w:r>
        <w:rPr>
          <w:rFonts w:hint="default" w:ascii="Times New Roman" w:hAnsi="Times New Roman" w:cs="Times New Roman"/>
          <w:sz w:val="28"/>
          <w:szCs w:val="28"/>
        </w:rPr>
        <w:t xml:space="preserve">, followed by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Bellevue (8K)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Redmond (5K)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Seattle emerges as the EV capital — infrastructure investments here are paying off.</w:t>
      </w:r>
    </w:p>
    <w:p w14:paraId="03B7A0E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F4230B0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>7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CAFV (Clean Alternative Fuel Vehicle) Eligibility</w:t>
      </w:r>
    </w:p>
    <w:p w14:paraId="57459F85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46.33% of vehicles are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“Not Eligible”</w:t>
      </w:r>
      <w:r>
        <w:rPr>
          <w:rFonts w:hint="default" w:ascii="Times New Roman" w:hAnsi="Times New Roman" w:cs="Times New Roman"/>
          <w:sz w:val="28"/>
          <w:szCs w:val="28"/>
        </w:rPr>
        <w:t xml:space="preserve"> for CAFV benefits, while 41.81% are eligible.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There’s still untapped potential for policy-based adoption incentives.</w:t>
      </w:r>
    </w:p>
    <w:p w14:paraId="74D271BD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8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Top Performing Models</w:t>
      </w:r>
    </w:p>
    <w:p w14:paraId="013DCD71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Model Y (29K)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Model 3 (28K)</w:t>
      </w:r>
      <w:r>
        <w:rPr>
          <w:rFonts w:hint="default" w:ascii="Times New Roman" w:hAnsi="Times New Roman" w:cs="Times New Roman"/>
          <w:sz w:val="28"/>
          <w:szCs w:val="28"/>
        </w:rPr>
        <w:t xml:space="preserve"> lead by a huge margin, together covering ~38% of the total EV market.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Compact and mid-range models are driving EV sales — showing customer preference for affordability and range balance.</w:t>
      </w:r>
    </w:p>
    <w:p w14:paraId="1C7C7D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C71DA99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9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Brand Penetration Insights</w:t>
      </w:r>
    </w:p>
    <w:p w14:paraId="57DCDA17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While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Tesla</w:t>
      </w:r>
      <w:r>
        <w:rPr>
          <w:rFonts w:hint="default" w:ascii="Times New Roman" w:hAnsi="Times New Roman" w:cs="Times New Roman"/>
          <w:sz w:val="28"/>
          <w:szCs w:val="28"/>
        </w:rPr>
        <w:t xml:space="preserve"> leads, emerging brands like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Kia, Toyota, and Volkswagen</w:t>
      </w:r>
      <w:r>
        <w:rPr>
          <w:rFonts w:hint="default" w:ascii="Times New Roman" w:hAnsi="Times New Roman" w:cs="Times New Roman"/>
          <w:sz w:val="28"/>
          <w:szCs w:val="28"/>
        </w:rPr>
        <w:t xml:space="preserve"> have started gaining small but consistent market presence.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Indicates diversification and competition in the EV ecosystem.</w:t>
      </w:r>
    </w:p>
    <w:p w14:paraId="4578B952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10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Regional Insights for Expansion</w:t>
      </w:r>
    </w:p>
    <w:p w14:paraId="1114CD7A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High adoption in urban cities</w:t>
      </w:r>
      <w:r>
        <w:rPr>
          <w:rFonts w:hint="default" w:ascii="Times New Roman" w:hAnsi="Times New Roman" w:cs="Times New Roman"/>
          <w:sz w:val="28"/>
          <w:szCs w:val="28"/>
        </w:rPr>
        <w:t xml:space="preserve"> like Seattle and Bellevue highlights good charging infrastructure.</w:t>
      </w:r>
    </w:p>
    <w:p w14:paraId="7701CE2E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Smaller cities like Olympia and Tacoma show emerging potential.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👉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Focusing on Tier-2 cities could be the next growth strategy.</w:t>
      </w:r>
    </w:p>
    <w:p w14:paraId="69A99F3F">
      <w:pPr>
        <w:pStyle w:val="12"/>
        <w:keepNext w:val="0"/>
        <w:keepLines w:val="0"/>
        <w:widowControl/>
        <w:suppressLineNumbers w:val="0"/>
        <w:ind w:righ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“From my Electric Vehicle Analysis dashboard, I observed that the EV market is rapidly expanding, with over </w:t>
      </w:r>
      <w:r>
        <w:rPr>
          <w:rStyle w:val="13"/>
          <w:rFonts w:hint="default" w:ascii="Times New Roman" w:hAnsi="Times New Roman" w:eastAsia="SimSun" w:cs="Times New Roman"/>
          <w:sz w:val="28"/>
          <w:szCs w:val="28"/>
        </w:rPr>
        <w:t>150,000 total vehicles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recorded between 2011 and 2024. </w:t>
      </w:r>
      <w:r>
        <w:rPr>
          <w:rStyle w:val="13"/>
          <w:rFonts w:hint="default" w:ascii="Times New Roman" w:hAnsi="Times New Roman" w:eastAsia="SimSun" w:cs="Times New Roman"/>
          <w:sz w:val="28"/>
          <w:szCs w:val="28"/>
        </w:rPr>
        <w:t>Battery Electric Vehicles dominate 78%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of the market, showing a clear preference for zero-emission options. </w:t>
      </w:r>
      <w:r>
        <w:rPr>
          <w:rStyle w:val="13"/>
          <w:rFonts w:hint="default" w:ascii="Times New Roman" w:hAnsi="Times New Roman" w:eastAsia="SimSun" w:cs="Times New Roman"/>
          <w:sz w:val="28"/>
          <w:szCs w:val="28"/>
        </w:rPr>
        <w:t>Tesla alone contributes nearly half of the total market share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led by </w:t>
      </w:r>
      <w:r>
        <w:rPr>
          <w:rStyle w:val="13"/>
          <w:rFonts w:hint="default" w:ascii="Times New Roman" w:hAnsi="Times New Roman" w:eastAsia="SimSun" w:cs="Times New Roman"/>
          <w:sz w:val="28"/>
          <w:szCs w:val="28"/>
        </w:rPr>
        <w:t>Model Y and Model 3</w:t>
      </w:r>
      <w:r>
        <w:rPr>
          <w:rFonts w:hint="default" w:ascii="Times New Roman" w:hAnsi="Times New Roman" w:eastAsia="SimSun" w:cs="Times New Roman"/>
          <w:sz w:val="28"/>
          <w:szCs w:val="28"/>
        </w:rPr>
        <w:t>, which together represent about 38% of all EVs.</w:t>
      </w:r>
    </w:p>
    <w:p w14:paraId="1557AC4A">
      <w:pPr>
        <w:pStyle w:val="12"/>
        <w:keepNext w:val="0"/>
        <w:keepLines w:val="0"/>
        <w:widowControl/>
        <w:suppressLineNumbers w:val="0"/>
        <w:ind w:righ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Interestingly, </w:t>
      </w:r>
      <w:r>
        <w:rPr>
          <w:rStyle w:val="13"/>
          <w:rFonts w:hint="default" w:ascii="Times New Roman" w:hAnsi="Times New Roman" w:eastAsia="SimSun" w:cs="Times New Roman"/>
          <w:sz w:val="28"/>
          <w:szCs w:val="28"/>
        </w:rPr>
        <w:t>Seattle emerges as the top-performing city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while year-wise growth highlights a massive spike after 2017, mainly due to improved policies and infrastructure. However, around </w:t>
      </w:r>
      <w:r>
        <w:rPr>
          <w:rStyle w:val="13"/>
          <w:rFonts w:hint="default" w:ascii="Times New Roman" w:hAnsi="Times New Roman" w:eastAsia="SimSun" w:cs="Times New Roman"/>
          <w:sz w:val="28"/>
          <w:szCs w:val="28"/>
        </w:rPr>
        <w:t>46% of vehicles remain ineligible for clean fuel incentives</w:t>
      </w:r>
      <w:r>
        <w:rPr>
          <w:rFonts w:hint="default" w:ascii="Times New Roman" w:hAnsi="Times New Roman" w:eastAsia="SimSun" w:cs="Times New Roman"/>
          <w:sz w:val="28"/>
          <w:szCs w:val="28"/>
        </w:rPr>
        <w:t>, indicating policy gaps and opportunities for improvement.</w:t>
      </w:r>
    </w:p>
    <w:p w14:paraId="3FAC8B06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Overall, the insights emphasize Tesla’s dominance, the effectiveness of infrastructure in key cities, and the untapped potential for policy-driven EV expansion.”</w:t>
      </w:r>
    </w:p>
    <w:p w14:paraId="0A845020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D2E8B58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2E9DBC0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209BD4F9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223A415F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6916AB34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29983D85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862E4C8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9F0F4DE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1C1845E5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2AD9C2E4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630EC142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5B6D411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18F244B7">
      <w:pPr>
        <w:pStyle w:val="12"/>
        <w:keepNext w:val="0"/>
        <w:keepLines w:val="0"/>
        <w:widowControl/>
        <w:suppressLineNumbers w:val="0"/>
        <w:ind w:righ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041390" cy="3386455"/>
            <wp:effectExtent l="0" t="0" r="8890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F15C">
      <w:pPr>
        <w:pStyle w:val="12"/>
        <w:keepNext w:val="0"/>
        <w:keepLines w:val="0"/>
        <w:widowControl/>
        <w:suppressLineNumbers w:val="0"/>
        <w:ind w:right="72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1</w:t>
      </w:r>
      <w:r>
        <w:rPr>
          <w:rStyle w:val="13"/>
          <w:rFonts w:hint="default" w:ascii="Times New Roman" w:hAnsi="Times New Roman" w:eastAsia="SimSu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Machine Learning Dominates</w:t>
      </w:r>
    </w:p>
    <w:p w14:paraId="3BC56F44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Machine Learning Researchers hold the highest number of job positions (808), showing how strongly the AI job market revolves around machine learning expertise.</w:t>
      </w:r>
    </w:p>
    <w:p w14:paraId="20B5BEE0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>2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Attractive Global Average Salary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The average salary across all AI roles is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$115.35K</w:t>
      </w:r>
      <w:r>
        <w:rPr>
          <w:rFonts w:hint="default" w:ascii="Times New Roman" w:hAnsi="Times New Roman" w:cs="Times New Roman"/>
          <w:sz w:val="28"/>
          <w:szCs w:val="28"/>
        </w:rPr>
        <w:t>, reflecting the high value and demand for AI professionals worldwide.</w:t>
      </w:r>
    </w:p>
    <w:p w14:paraId="6A9B7073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3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Switzerland Leads in Pay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Among all countries,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Switzerland offers the highest average AI salary at $171K</w:t>
      </w:r>
      <w:r>
        <w:rPr>
          <w:rFonts w:hint="default" w:ascii="Times New Roman" w:hAnsi="Times New Roman" w:cs="Times New Roman"/>
          <w:sz w:val="28"/>
          <w:szCs w:val="28"/>
        </w:rPr>
        <w:t>, followed by Denmark ($166K) and Norway ($159K). This highlights Europe as a hub for premium AI roles.</w:t>
      </w:r>
    </w:p>
    <w:p w14:paraId="2FAB382E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4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AI Leadership Roles Pay Exceptionally Well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Positions like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Head of AI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Machine Learning Researcher</w:t>
      </w:r>
      <w:r>
        <w:rPr>
          <w:rFonts w:hint="default" w:ascii="Times New Roman" w:hAnsi="Times New Roman" w:cs="Times New Roman"/>
          <w:sz w:val="28"/>
          <w:szCs w:val="28"/>
        </w:rPr>
        <w:t xml:space="preserve"> not only dominate in numbers but also in salary potential, indicating that leadership and deep research roles command top compensation.</w:t>
      </w:r>
    </w:p>
    <w:p w14:paraId="0766851B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5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Balanced Employment Types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The distribution of employment types (FT, FL, CT, PT) is almost even, showing that the AI industry offers flexible job opportunities — not limited to full-time roles.</w:t>
      </w:r>
    </w:p>
    <w:p w14:paraId="65D76549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6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Experience Level Impacts Salary Significantly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Experienced professionals (EX) earn around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$0.19M annually</w:t>
      </w:r>
      <w:r>
        <w:rPr>
          <w:rFonts w:hint="default" w:ascii="Times New Roman" w:hAnsi="Times New Roman" w:cs="Times New Roman"/>
          <w:sz w:val="28"/>
          <w:szCs w:val="28"/>
        </w:rPr>
        <w:t xml:space="preserve">, while mid-level (MI) professionals earn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$0.10M</w:t>
      </w:r>
      <w:r>
        <w:rPr>
          <w:rFonts w:hint="default" w:ascii="Times New Roman" w:hAnsi="Times New Roman" w:cs="Times New Roman"/>
          <w:sz w:val="28"/>
          <w:szCs w:val="28"/>
        </w:rPr>
        <w:t>. This proves that expertise and experience strongly influence pay growth in AI careers.</w:t>
      </w:r>
    </w:p>
    <w:p w14:paraId="7050B94D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7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AI Industry Diversity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With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15 different industries</w:t>
      </w:r>
      <w:r>
        <w:rPr>
          <w:rFonts w:hint="default" w:ascii="Times New Roman" w:hAnsi="Times New Roman" w:cs="Times New Roman"/>
          <w:sz w:val="28"/>
          <w:szCs w:val="28"/>
        </w:rPr>
        <w:t xml:space="preserve"> represented, AI skills are not confined to tech companies — they’re spreading across sectors like healthcare, finance, and manufacturing.</w:t>
      </w:r>
    </w:p>
    <w:p w14:paraId="170CBDF9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8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Global Currency Comparison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AI professionals paid in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GBP</w:t>
      </w:r>
      <w:r>
        <w:rPr>
          <w:rFonts w:hint="default" w:ascii="Times New Roman" w:hAnsi="Times New Roman" w:cs="Times New Roman"/>
          <w:sz w:val="28"/>
          <w:szCs w:val="28"/>
        </w:rPr>
        <w:t xml:space="preserve"> earn the most on average ($129K), followed by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EUR ($121K)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USD ($113K)</w:t>
      </w:r>
      <w:r>
        <w:rPr>
          <w:rFonts w:hint="default" w:ascii="Times New Roman" w:hAnsi="Times New Roman" w:cs="Times New Roman"/>
          <w:sz w:val="28"/>
          <w:szCs w:val="28"/>
        </w:rPr>
        <w:t>, reflecting regional differences in salary scales and cost of living adjustments.</w:t>
      </w:r>
    </w:p>
    <w:p w14:paraId="07DF1960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9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Average Experience Requirement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The average experience level of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6.25 years</w:t>
      </w:r>
      <w:r>
        <w:rPr>
          <w:rFonts w:hint="default" w:ascii="Times New Roman" w:hAnsi="Times New Roman" w:cs="Times New Roman"/>
          <w:sz w:val="28"/>
          <w:szCs w:val="28"/>
        </w:rPr>
        <w:t xml:space="preserve"> shows that AI jobs generally demand skilled professionals with strong technical and analytical backgrounds.</w:t>
      </w:r>
    </w:p>
    <w:p w14:paraId="7A79C81F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  <w:lang w:val="en-GB"/>
        </w:rPr>
        <w:t xml:space="preserve">10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Data Scientist Roles Remain Core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Despite newer job titles,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Data Scientist</w:t>
      </w:r>
      <w:r>
        <w:rPr>
          <w:rFonts w:hint="default" w:ascii="Times New Roman" w:hAnsi="Times New Roman" w:cs="Times New Roman"/>
          <w:sz w:val="28"/>
          <w:szCs w:val="28"/>
        </w:rPr>
        <w:t xml:space="preserve"> roles still maintain a high presence (720 jobs), confirming their ongoing importance as the foundation of AI-driven decision-making.</w:t>
      </w:r>
    </w:p>
    <w:p w14:paraId="511FCE68">
      <w:pPr>
        <w:pStyle w:val="12"/>
        <w:keepNext w:val="0"/>
        <w:keepLines w:val="0"/>
        <w:widowControl/>
        <w:suppressLineNumbers w:val="0"/>
        <w:ind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1C717581">
      <w:pPr>
        <w:pStyle w:val="12"/>
        <w:keepNext w:val="0"/>
        <w:keepLines w:val="0"/>
        <w:widowControl/>
        <w:suppressLineNumbers w:val="0"/>
        <w:ind w:left="720" w:right="7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2C2EF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7DBC4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E6338"/>
    <w:multiLevelType w:val="multilevel"/>
    <w:tmpl w:val="95FE63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A33E4"/>
    <w:rsid w:val="26E36168"/>
    <w:rsid w:val="2BB067A9"/>
    <w:rsid w:val="30956B54"/>
    <w:rsid w:val="42553C41"/>
    <w:rsid w:val="4B7112D7"/>
    <w:rsid w:val="502E0B70"/>
    <w:rsid w:val="7B77326C"/>
    <w:rsid w:val="7D9D2BD9"/>
    <w:rsid w:val="7E0C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7"/>
    <w:qFormat/>
    <w:uiPriority w:val="0"/>
    <w:rPr>
      <w:b/>
      <w:bCs/>
    </w:rPr>
  </w:style>
  <w:style w:type="paragraph" w:customStyle="1" w:styleId="14">
    <w:name w:val="_Style 12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5">
    <w:name w:val="_Style 13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2025-09-25T07:09:00Z</dcterms:created>
  <dc:creator>Lenovo</dc:creator>
  <cp:lastModifiedBy>Ujjwal Patidar</cp:lastModifiedBy>
  <dcterms:modified xsi:type="dcterms:W3CDTF">2025-10-14T05:17:33Z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81972531B93B45C7BC5DDBC7D7A120EB_12</vt:lpwstr>
  </property>
</Properties>
</file>