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RetainX – Customer Retention &amp; Churn Analytics Platform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lctr8icodx5" w:id="0"/>
      <w:bookmarkEnd w:id="0"/>
      <w:r w:rsidDel="00000000" w:rsidR="00000000" w:rsidRPr="00000000">
        <w:rPr>
          <w:b w:val="1"/>
          <w:bCs w:val="1"/>
          <w:rtl w:val="0"/>
        </w:rPr>
        <w:t xml:space="preserve">1. 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churn has a direct and measurable impact on revenue, profitability, and long-term business sustainability in subscription-based and service-oriented industries. RetainX aims to proactively identify churn drivers, evaluate customer health, and quantify revenue exposure caused by customer attrition.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decision-makers lack a consolidated analytical view that combines customer behavior, usage patterns, revenue contribution, and geographic trends. This project addresses that gap by delivering an end-to-end analytics solution.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tavx9gf04om" w:id="1"/>
      <w:bookmarkEnd w:id="1"/>
      <w:r w:rsidDel="00000000" w:rsidR="00000000" w:rsidRPr="00000000">
        <w:rPr>
          <w:b w:val="1"/>
          <w:bCs w:val="1"/>
          <w:rtl w:val="0"/>
        </w:rPr>
        <w:t xml:space="preserve">2. Business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faces challenges 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customers at high risk of churn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behavioral and tenure-based churn drivers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Quantifying revenue loss due to churn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Prioritizing high-value customers for retention strategies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Analyzing churn patterns across customer segments and regions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structured analytics, churn mitigation decisions remain reactive instead of data-driven.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00nku4bht7i" w:id="2"/>
      <w:bookmarkEnd w:id="2"/>
      <w:r w:rsidDel="00000000" w:rsidR="00000000" w:rsidRPr="00000000">
        <w:rPr>
          <w:b w:val="1"/>
          <w:bCs w:val="1"/>
          <w:rtl w:val="0"/>
        </w:rPr>
        <w:t xml:space="preserve">3. Business Objectives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Measure overall customer churn and churn trends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Segment customers based on usage, tenure, and revenue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high-value customers at risk of churn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Quantify revenue at risk due to churn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geographic churn insights for targeted interventions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Enable leadership to take proactive retention actions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slayi443kr" w:id="3"/>
      <w:bookmarkEnd w:id="3"/>
      <w:r w:rsidDel="00000000" w:rsidR="00000000" w:rsidRPr="00000000">
        <w:rPr>
          <w:b w:val="1"/>
          <w:bCs w:val="1"/>
          <w:rtl w:val="0"/>
        </w:rPr>
        <w:t xml:space="preserve">4. In-Scope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Customer-level churn analysis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engineering using usage, revenue, and tenure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SQL-based transformation and analytical layers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Python-based data understanding and EDA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 BI dashboards for business users</w:t>
        <w:br w:type="textWrapping"/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wrbl9tk8hum" w:id="4"/>
      <w:bookmarkEnd w:id="4"/>
      <w:r w:rsidDel="00000000" w:rsidR="00000000" w:rsidRPr="00000000">
        <w:rPr>
          <w:b w:val="1"/>
          <w:bCs w:val="1"/>
          <w:rtl w:val="0"/>
        </w:rPr>
        <w:t xml:space="preserve">5. Out-of-Scope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machine learning churn models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streaming data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Campaign execution systems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e9ai4cb7r8x" w:id="5"/>
      <w:bookmarkEnd w:id="5"/>
      <w:r w:rsidDel="00000000" w:rsidR="00000000" w:rsidRPr="00000000">
        <w:rPr>
          <w:b w:val="1"/>
          <w:bCs w:val="1"/>
          <w:rtl w:val="0"/>
        </w:rPr>
        <w:t xml:space="preserve">6. Success Criteria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Accurate churn KPIs validated against raw data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Clear identification of high-risk and high-value customers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Business-ready dashboards with actionable insights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Stakeholder-friendly analytics storytelling</w:t>
        <w:br w:type="textWrapping"/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wr25jnj4fc" w:id="6"/>
      <w:bookmarkEnd w:id="6"/>
      <w:r w:rsidDel="00000000" w:rsidR="00000000" w:rsidRPr="00000000">
        <w:rPr>
          <w:b w:val="1"/>
          <w:bCs w:val="1"/>
          <w:rtl w:val="0"/>
        </w:rPr>
        <w:t xml:space="preserve">7. Assumptions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Churn definition is binary (0 = Active, 1 = Churned)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provided is reliable and representative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Usage score reflects engagement accurately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5ypbp12e20b" w:id="7"/>
      <w:bookmarkEnd w:id="7"/>
      <w:r w:rsidDel="00000000" w:rsidR="00000000" w:rsidRPr="00000000">
        <w:rPr>
          <w:b w:val="1"/>
          <w:bCs w:val="1"/>
          <w:rtl w:val="0"/>
        </w:rPr>
        <w:t xml:space="preserve">8. Risks &amp; Mitigation</w:t>
      </w:r>
    </w:p>
    <w:tbl>
      <w:tblPr>
        <w:tblStyle w:val="Table1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4445"/>
        <w:tblGridChange w:id="0">
          <w:tblGrid>
            <w:gridCol w:w="348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Misinterpretation of churn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Clear KPI definitions and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Data quality inconsistencies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SQL validation checks and Python profiling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Over-complex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Focus on executive-level clarity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