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RetainX – Customer Retention &amp; Churn Analytics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t45gxh96f9f" w:id="0"/>
      <w:bookmarkEnd w:id="0"/>
      <w:r w:rsidDel="00000000" w:rsidR="00000000" w:rsidRPr="00000000">
        <w:rPr>
          <w:b w:val="1"/>
          <w:bCs w:val="1"/>
          <w:rtl w:val="0"/>
        </w:rPr>
        <w:t xml:space="preserve">1. Key Performance Indicators (KPIs)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304zsq49b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KPIs</w:t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4200"/>
        <w:tblGridChange w:id="0">
          <w:tblGrid>
            <w:gridCol w:w="2730"/>
            <w:gridCol w:w="4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Total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Total active and churned 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Total Churned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Customers who discontinued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Churn Rate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churned 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Customer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Loyal, At Risk, Churned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wbsifg24c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KPIs</w:t>
      </w:r>
    </w:p>
    <w:tbl>
      <w:tblPr>
        <w:tblStyle w:val="Table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030"/>
        <w:tblGridChange w:id="0">
          <w:tblGrid>
            <w:gridCol w:w="3495"/>
            <w:gridCol w:w="6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Average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Average customer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Revenue at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Revenue associated with churned or at-risk 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High-Value At-Risk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Premium customers likely to churn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ll65o4ojk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KPIs</w:t>
      </w:r>
    </w:p>
    <w:tbl>
      <w:tblPr>
        <w:tblStyle w:val="Table3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4335"/>
        <w:tblGridChange w:id="0">
          <w:tblGrid>
            <w:gridCol w:w="2610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Usage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Weighted usage engagement metric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Usage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Low, Medium,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Tenure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Customer lifecycle duration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gi8xewjaaum" w:id="4"/>
      <w:bookmarkEnd w:id="4"/>
      <w:r w:rsidDel="00000000" w:rsidR="00000000" w:rsidRPr="00000000">
        <w:rPr>
          <w:b w:val="1"/>
          <w:bCs w:val="1"/>
          <w:rtl w:val="0"/>
        </w:rPr>
        <w:t xml:space="preserve">2. Business Questions Answered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overall churn rate?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customer segments have the highest churn?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does usage behavior impact churn?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tenure groups are most vulnerable?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much revenue is at risk due to churn?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revenue segments require priority action?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geographic regions show higher churn concentration?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Who are the top high-value customers at risk?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cagnbkk7pe1" w:id="5"/>
      <w:bookmarkEnd w:id="5"/>
      <w:r w:rsidDel="00000000" w:rsidR="00000000" w:rsidRPr="00000000">
        <w:rPr>
          <w:b w:val="1"/>
          <w:bCs w:val="1"/>
          <w:rtl w:val="0"/>
        </w:rPr>
        <w:t xml:space="preserve">3. Decision Support Use Cases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Prioritize retention campaigns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Allocate customer success resources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product or engagement gaps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strategic planning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