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Accès à l’électricité et développement dans les espaces ruraux sénégalais</w:t>
      </w:r>
    </w:p>
    <w:p>
      <w:pPr>
        <w:pStyle w:val="Subtitle"/>
      </w:pPr>
      <w:r>
        <w:t xml:space="preserve">Le cas de l’énergie solaire dans la concession de Kolda-Vélingara-Médina Yoro Foulah (KVM)</w:t>
      </w:r>
    </w:p>
    <w:p>
      <w:pPr>
        <w:pStyle w:val="Author"/>
      </w:pPr>
      <w:r>
        <w:t xml:space="preserve">Mariama SARR</w:t>
      </w:r>
    </w:p>
    <w:p>
      <w:pPr>
        <w:pStyle w:val="Date"/>
      </w:pPr>
      <w:r>
        <w:t xml:space="preserve">mardi 04 novembre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20" w:name="section"/>
    <w:p>
      <w:pPr>
        <w:pStyle w:val="Heading1"/>
      </w:pPr>
    </w:p>
    <w:bookmarkEnd w:id="20"/>
    <w:bookmarkStart w:id="35" w:name="introduction"/>
    <w:p>
      <w:pPr>
        <w:pStyle w:val="Heading1"/>
      </w:pPr>
      <w:r>
        <w:t xml:space="preserve">Introduction</w:t>
      </w:r>
    </w:p>
    <w:bookmarkStart w:id="33" w:name="pages-à-ajouter-en-début-de-document"/>
    <w:p>
      <w:pPr>
        <w:pStyle w:val="Heading3"/>
      </w:pPr>
      <w:r>
        <w:t xml:space="preserve">Pages à ajouter en début de document</w:t>
      </w:r>
    </w:p>
    <w:bookmarkStart w:id="24" w:name="remerciements"/>
    <w:p>
      <w:pPr>
        <w:pStyle w:val="Heading4"/>
      </w:pPr>
      <w:r>
        <w:t xml:space="preserve">Remerciements</w:t>
      </w:r>
    </w:p>
    <w:p>
      <w:pPr>
        <w:pStyle w:val="CaptionedFigure"/>
      </w:pPr>
      <w:r>
        <w:drawing>
          <wp:inline>
            <wp:extent cx="5334000" cy="4923692"/>
            <wp:effectExtent b="0" l="0" r="0" t="0"/>
            <wp:docPr descr="Remerciements de la thèse d’Arthur Perret" title="" id="22" name="Picture"/>
            <a:graphic>
              <a:graphicData uri="http://schemas.openxmlformats.org/drawingml/2006/picture">
                <pic:pic>
                  <pic:nvPicPr>
                    <pic:cNvPr descr="img/remerciement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Remerciements de la thèse d’Arthur Perret</w:t>
      </w:r>
    </w:p>
    <w:bookmarkEnd w:id="24"/>
    <w:bookmarkStart w:id="32" w:name="résumé-mots-clés-licence-fr-en"/>
    <w:p>
      <w:pPr>
        <w:pStyle w:val="Heading4"/>
      </w:pPr>
      <w:r>
        <w:t xml:space="preserve">Résumé + mots-clés + licence (fr + en)</w:t>
      </w:r>
    </w:p>
    <w:bookmarkStart w:id="31" w:name="fig-abstrac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581275"/>
                  <wp:effectExtent b="0" l="0" r="0" t="0"/>
                  <wp:docPr descr="Page résumé - fr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g/resume_f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581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Page résumé - fr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664823"/>
                  <wp:effectExtent b="0" l="0" r="0" t="0"/>
                  <wp:docPr descr="Page résumé - en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g/resume_en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6648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Page résumé - en</w:t>
            </w:r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Pages de résumé de la thèse d’Arthur Perret</w:t>
      </w:r>
    </w:p>
    <w:bookmarkEnd w:id="31"/>
    <w:bookmarkEnd w:id="32"/>
    <w:bookmarkEnd w:id="33"/>
    <w:bookmarkStart w:id="34" w:name="pages-à-ajouter-à-la-fin-du-document"/>
    <w:p>
      <w:pPr>
        <w:pStyle w:val="Heading3"/>
      </w:pPr>
      <w:r>
        <w:t xml:space="preserve">Pages à ajouter à la fin du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34"/>
    <w:bookmarkEnd w:id="35"/>
    <w:bookmarkStart w:id="42" w:name="cadre-théorique"/>
    <w:p>
      <w:pPr>
        <w:pStyle w:val="Heading1"/>
      </w:pPr>
      <w:r>
        <w:t xml:space="preserve">1. Cadre théorique</w:t>
      </w:r>
    </w:p>
    <w:bookmarkStart w:id="38" w:name="définitions"/>
    <w:p>
      <w:pPr>
        <w:pStyle w:val="Heading2"/>
      </w:pPr>
      <w:r>
        <w:t xml:space="preserve">1.1 Définitions</w:t>
      </w:r>
    </w:p>
    <w:bookmarkStart w:id="36" w:name="ordinaires"/>
    <w:p>
      <w:pPr>
        <w:pStyle w:val="Heading3"/>
      </w:pPr>
      <w:r>
        <w:t xml:space="preserve">1.1.1 Ordinaires</w:t>
      </w:r>
    </w:p>
    <w:bookmarkEnd w:id="36"/>
    <w:bookmarkStart w:id="37" w:name="ailleurs"/>
    <w:p>
      <w:pPr>
        <w:pStyle w:val="Heading3"/>
      </w:pPr>
      <w:r>
        <w:t xml:space="preserve">1.1.2 Ailleurs</w:t>
      </w:r>
    </w:p>
    <w:bookmarkEnd w:id="37"/>
    <w:bookmarkEnd w:id="38"/>
    <w:bookmarkStart w:id="41" w:name="littérature"/>
    <w:p>
      <w:pPr>
        <w:pStyle w:val="Heading2"/>
      </w:pPr>
      <w:r>
        <w:t xml:space="preserve">1.2 Littérature</w:t>
      </w:r>
    </w:p>
    <w:bookmarkStart w:id="39" w:name="classique"/>
    <w:p>
      <w:pPr>
        <w:pStyle w:val="Heading3"/>
      </w:pPr>
      <w:r>
        <w:t xml:space="preserve">1.2.1 Classique</w:t>
      </w:r>
    </w:p>
    <w:bookmarkEnd w:id="39"/>
    <w:bookmarkStart w:id="40" w:name="orientée"/>
    <w:p>
      <w:pPr>
        <w:pStyle w:val="Heading3"/>
      </w:pPr>
      <w:r>
        <w:t xml:space="preserve">1.2.2 Orientée</w:t>
      </w:r>
    </w:p>
    <w:bookmarkEnd w:id="40"/>
    <w:bookmarkEnd w:id="41"/>
    <w:bookmarkEnd w:id="42"/>
    <w:bookmarkStart w:id="46" w:name="terrain"/>
    <w:p>
      <w:pPr>
        <w:pStyle w:val="Heading1"/>
      </w:pPr>
      <w:r>
        <w:t xml:space="preserve">2. Terrain</w:t>
      </w:r>
    </w:p>
    <w:bookmarkStart w:id="45" w:name="observations"/>
    <w:p>
      <w:pPr>
        <w:pStyle w:val="Heading2"/>
      </w:pPr>
      <w:r>
        <w:t xml:space="preserve">2.1 Observations</w:t>
      </w:r>
    </w:p>
    <w:bookmarkStart w:id="43" w:name="séjour-1"/>
    <w:p>
      <w:pPr>
        <w:pStyle w:val="Heading3"/>
      </w:pPr>
      <w:r>
        <w:t xml:space="preserve">2.1.1 Séjour 1</w:t>
      </w:r>
    </w:p>
    <w:bookmarkEnd w:id="43"/>
    <w:bookmarkStart w:id="44" w:name="séjour-2"/>
    <w:p>
      <w:pPr>
        <w:pStyle w:val="Heading3"/>
      </w:pPr>
      <w:r>
        <w:t xml:space="preserve">2.1.2 Séjour 2</w:t>
      </w:r>
    </w:p>
    <w:bookmarkEnd w:id="44"/>
    <w:bookmarkEnd w:id="45"/>
    <w:bookmarkEnd w:id="46"/>
    <w:bookmarkStart w:id="50" w:name="bibliographie"/>
    <w:p>
      <w:pPr>
        <w:pStyle w:val="Heading1"/>
      </w:pPr>
      <w:r>
        <w:t xml:space="preserve">Bibliographie</w:t>
      </w:r>
    </w:p>
    <w:bookmarkStart w:id="49" w:name="refs"/>
    <w:bookmarkStart w:id="48" w:name="ref-knuth84"/>
    <w:p>
      <w:pPr>
        <w:pStyle w:val="Bibliography"/>
      </w:pPr>
      <w:r>
        <w:t xml:space="preserve">Knuth D. E., 1984, Literate Programming,</w:t>
      </w:r>
      <w:r>
        <w:t xml:space="preserve"> </w:t>
      </w:r>
      <w:r>
        <w:rPr>
          <w:i/>
          <w:iCs/>
        </w:rPr>
        <w:t xml:space="preserve">Comput. J.</w:t>
      </w:r>
      <w:r>
        <w:t xml:space="preserve">, 27(2), p. 97‑111. DOI :</w:t>
      </w:r>
      <w:r>
        <w:t xml:space="preserve"> </w:t>
      </w:r>
      <w:hyperlink r:id="rId47">
        <w:r>
          <w:rPr>
            <w:rStyle w:val="Hyperlink"/>
          </w:rPr>
          <w:t xml:space="preserve">10.1093/comjnl/27.2.97</w:t>
        </w:r>
      </w:hyperlink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25" Target="media/rId25.png" /><Relationship Type="http://schemas.openxmlformats.org/officeDocument/2006/relationships/hyperlink" Id="rId47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Accès à l’électricité et développement dans les espaces ruraux sénégalais</dc:title>
  <dc:creator>Mariama SARR</dc:creator>
  <dc:language>fr</dc:language>
  <cp:keywords/>
  <dcterms:created xsi:type="dcterms:W3CDTF">2025-11-07T11:14:42Z</dcterms:created>
  <dcterms:modified xsi:type="dcterms:W3CDTF">2025-11-07T11:14:42Z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ook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rossref">
    <vt:lpwstr/>
  </property>
  <property fmtid="{D5CDD505-2E9C-101B-9397-08002B2CF9AE}" pid="11" name="csl">
    <vt:lpwstr>http://www.zotero.org/styles/norois</vt:lpwstr>
  </property>
  <property fmtid="{D5CDD505-2E9C-101B-9397-08002B2CF9AE}" pid="12" name="date">
    <vt:lpwstr>mardi 04 novembre 2025</vt:lpwstr>
  </property>
  <property fmtid="{D5CDD505-2E9C-101B-9397-08002B2CF9AE}" pid="13" name="date-format">
    <vt:lpwstr>dddd DD MMMM 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notes-after-punctuation">
    <vt:lpwstr>False</vt:lpwstr>
  </property>
  <property fmtid="{D5CDD505-2E9C-101B-9397-08002B2CF9AE}" pid="19" name="subtitle">
    <vt:lpwstr>Le cas de l’énergie solaire dans la concession de Kolda-Vélingara-Médina Yoro Foulah (KVM)</vt:lpwstr>
  </property>
  <property fmtid="{D5CDD505-2E9C-101B-9397-08002B2CF9AE}" pid="20" name="template-partials">
    <vt:lpwstr/>
  </property>
  <property fmtid="{D5CDD505-2E9C-101B-9397-08002B2CF9AE}" pid="21" name="toc-title">
    <vt:lpwstr>Table des matières</vt:lpwstr>
  </property>
</Properties>
</file>