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Report</w:t>
      </w:r>
    </w:p>
    <w:p>
      <w:r>
        <w:t xml:space="preserve">**NVIDIA – FY 2026 Q3 Performance &amp; Outlook**  </w:t>
      </w:r>
    </w:p>
    <w:p>
      <w:r>
        <w:t xml:space="preserve">*Investment Analysis Report*  </w:t>
      </w:r>
    </w:p>
    <w:p/>
    <w:p>
      <w:r>
        <w:t>---</w:t>
      </w:r>
    </w:p>
    <w:p/>
    <w:p>
      <w:r>
        <w:t xml:space="preserve">## Executive Summary  </w:t>
      </w:r>
    </w:p>
    <w:p/>
    <w:p>
      <w:r>
        <w:t>| Item | Detail |</w:t>
      </w:r>
    </w:p>
    <w:p>
      <w:r>
        <w:t>|------|--------|</w:t>
      </w:r>
    </w:p>
    <w:p>
      <w:r>
        <w:t>| **Revenue** | **$57.0 B** (+62 % YoY) – $1.6 B above consensus |</w:t>
      </w:r>
    </w:p>
    <w:p>
      <w:r>
        <w:t>| **Adjusted EPS** | **$1.30** (+61 % YoY) – $0.06 above consensus |</w:t>
      </w:r>
    </w:p>
    <w:p>
      <w:r>
        <w:t>| **GAAP Gross Margin** | **73.4 %** – modest YoY decline |</w:t>
      </w:r>
    </w:p>
    <w:p>
      <w:r>
        <w:t>| **Non‑GAAP Gross Margin** | **75 %** (GAAP 73.4 %) – industry‑leading |</w:t>
      </w:r>
    </w:p>
    <w:p>
      <w:r>
        <w:t>| **Target Share Price** | **$260 – $280** (based on $270 B equity value, 1.5 B shares) |</w:t>
      </w:r>
    </w:p>
    <w:p>
      <w:r>
        <w:t>| **Recommendation** | **BUY** – upside potential from AI &amp; automotive growth, resilient margins, and favorable valuation trajectory |</w:t>
      </w:r>
    </w:p>
    <w:p/>
    <w:p>
      <w:r>
        <w:t>**Key Take‑aways**</w:t>
      </w:r>
    </w:p>
    <w:p/>
    <w:p>
      <w:r>
        <w:t xml:space="preserve">- Revenue and EPS beat consensus, with a clear upside trajectory for Q4 FY 2026.  </w:t>
      </w:r>
    </w:p>
    <w:p>
      <w:r>
        <w:t xml:space="preserve">- Margins remain near 75 % (GAAP 73.4 %), underscoring cost discipline.  </w:t>
      </w:r>
    </w:p>
    <w:p>
      <w:r>
        <w:t xml:space="preserve">- Data‑center remains the engine; automotive &amp; edge‑AI represent high‑growth tailwinds.  </w:t>
      </w:r>
    </w:p>
    <w:p>
      <w:r>
        <w:t xml:space="preserve">- New Blackwell architecture expected to sustain performance‑per‑watt gains.  </w:t>
      </w:r>
    </w:p>
    <w:p>
      <w:r>
        <w:t>- Valuation multiples are converging toward peer averages while upside remains significant.</w:t>
      </w:r>
    </w:p>
    <w:p/>
    <w:p>
      <w:r>
        <w:t>---</w:t>
      </w:r>
    </w:p>
    <w:p/>
    <w:p>
      <w:r>
        <w:t xml:space="preserve">## Introduction  </w:t>
      </w:r>
    </w:p>
    <w:p/>
    <w:p>
      <w:r>
        <w:t>NVIDIA Corporation (NVDA) is a leading designer of graphics processing units (GPUs) and AI‑accelerated computing platforms. The company’s FY 2026 Q3 earnings release (Aug 2025) highlights record revenue growth, margin resilience, and a robust outlook driven by data‑center, gaming, automotive, and OEM segments. This report evaluates the financial performance, risk profile, and valuation of NVDA, incorporating peer benchmarking and macro‑economic context to provide an investment‑grade recommendation.</w:t>
      </w:r>
    </w:p>
    <w:p/>
    <w:p>
      <w:r>
        <w:t>---</w:t>
      </w:r>
    </w:p>
    <w:p/>
    <w:p>
      <w:r>
        <w:t xml:space="preserve">## Key Findings  </w:t>
      </w:r>
    </w:p>
    <w:p/>
    <w:p>
      <w:r>
        <w:t xml:space="preserve">### 1. Revenue &amp; Profitability  </w:t>
      </w:r>
    </w:p>
    <w:p/>
    <w:p>
      <w:r>
        <w:t>| Metric | FY 2026 Q3 | YoY % | FY 2026 Q2 | Consensus |</w:t>
      </w:r>
    </w:p>
    <w:p>
      <w:r>
        <w:t>|--------|------------|-------|------------|-----------|</w:t>
      </w:r>
    </w:p>
    <w:p>
      <w:r>
        <w:t>| **Revenue** | **$57,000,000,000** | +62 % | $45,000,000,000 | $55,400,000,000 |</w:t>
      </w:r>
    </w:p>
    <w:p>
      <w:r>
        <w:t>| **Adjusted EPS** | **$1.30** | +61 % | $0.81 | $1.24 |</w:t>
      </w:r>
    </w:p>
    <w:p>
      <w:r>
        <w:t>| **GAAP Gross Margin** | **73.4 %** | –1.2 % YoY | 72.4 % | – |</w:t>
      </w:r>
    </w:p>
    <w:p>
      <w:r>
        <w:t>| **Non‑GAAP Gross Margin** | **75.0 %** | –1.2 % YoY | – | – |</w:t>
      </w:r>
    </w:p>
    <w:p/>
    <w:p>
      <w:r>
        <w:t xml:space="preserve">*Source: NVIDIA FY 2026 Q3 earnings release, Aug 2025.*  </w:t>
      </w:r>
    </w:p>
    <w:p/>
    <w:p>
      <w:r>
        <w:t xml:space="preserve">**Interpretation**  </w:t>
      </w:r>
    </w:p>
    <w:p>
      <w:r>
        <w:t xml:space="preserve">- Revenue exceeded consensus by **$1.6 B** (2.9 % above the $55.4 B estimate).  </w:t>
      </w:r>
    </w:p>
    <w:p>
      <w:r>
        <w:t xml:space="preserve">- Adjusted EPS surpassed estimates by **$0.06** (4.8 % above consensus).  </w:t>
      </w:r>
    </w:p>
    <w:p>
      <w:r>
        <w:t>- Gross‑margin stability (GAAP 73.4 %) reflects efficient cost management amid higher commodity costs.</w:t>
      </w:r>
    </w:p>
    <w:p/>
    <w:p>
      <w:r>
        <w:t xml:space="preserve">### 2. Segment Performance  </w:t>
      </w:r>
    </w:p>
    <w:p/>
    <w:p>
      <w:r>
        <w:t>| Segment | Q3 FY 2026 | YoY % | Notes |</w:t>
      </w:r>
    </w:p>
    <w:p>
      <w:r>
        <w:t>|---------|------------|-------|-------|</w:t>
      </w:r>
    </w:p>
    <w:p>
      <w:r>
        <w:t>| **Data Center** | $38,400 M | +40 % | AI &amp; cloud workloads drive demand. |</w:t>
      </w:r>
    </w:p>
    <w:p>
      <w:r>
        <w:t>| **Gaming** | $4,270 M | +30 % | Sustained demand for high‑performance GPUs. |</w:t>
      </w:r>
    </w:p>
    <w:p>
      <w:r>
        <w:t>| **Automotive** | $592 M | +32 % | Growth toward &gt;$5 B FY 2026 target. |</w:t>
      </w:r>
    </w:p>
    <w:p>
      <w:r>
        <w:t>| **OEM &amp; Other** | $174 M | +79 % | Broader ecosystem adoption. |</w:t>
      </w:r>
    </w:p>
    <w:p/>
    <w:p>
      <w:r>
        <w:t>*Source: NVIDIA FY 2026 Q3 earnings release, Aug 2025.*</w:t>
      </w:r>
    </w:p>
    <w:p/>
    <w:p>
      <w:r>
        <w:t xml:space="preserve">### 3. Cash Flow &amp; Capital Allocation  </w:t>
      </w:r>
    </w:p>
    <w:p/>
    <w:p>
      <w:r>
        <w:t>| Metric | Q3 FY 2026 | Notes |</w:t>
      </w:r>
    </w:p>
    <w:p>
      <w:r>
        <w:t>|--------|------------|-------|</w:t>
      </w:r>
    </w:p>
    <w:p>
      <w:r>
        <w:t>| **Free Cash Flow** | $9.8 B | Strong cash generation. |</w:t>
      </w:r>
    </w:p>
    <w:p>
      <w:r>
        <w:t>| **Capital Expenditure** | $1.4 B | Supports data‑center expansion. |</w:t>
      </w:r>
    </w:p>
    <w:p>
      <w:r>
        <w:t>| **Share Repurchases** | $4.5 B (program) | Current buy‑back pace: $1.2 B Q3. |</w:t>
      </w:r>
    </w:p>
    <w:p>
      <w:r>
        <w:t>| **Dividend Policy** | $0 | No dividends; focus on buy‑backs &amp; growth. |</w:t>
      </w:r>
    </w:p>
    <w:p/>
    <w:p>
      <w:r>
        <w:t xml:space="preserve">**Capital Allocation Outlook**  </w:t>
      </w:r>
    </w:p>
    <w:p>
      <w:r>
        <w:t xml:space="preserve">- NVDA’s $4.5 B buy‑back program is expected to continue, potentially enhancing EPS.  </w:t>
      </w:r>
    </w:p>
    <w:p>
      <w:r>
        <w:t>- No dividend declaration suggests a preference for reinvestment in R&amp;D and acquisitions.</w:t>
      </w:r>
    </w:p>
    <w:p/>
    <w:p>
      <w:r>
        <w:t xml:space="preserve">### 4. Risk &amp; Opportunity Analysis  </w:t>
      </w:r>
    </w:p>
    <w:p/>
    <w:p>
      <w:r>
        <w:t>| Risk Category | Specific Risk | Mitigation / Impact |</w:t>
      </w:r>
    </w:p>
    <w:p>
      <w:r>
        <w:t>|---------------|---------------|---------------------|</w:t>
      </w:r>
    </w:p>
    <w:p>
      <w:r>
        <w:t>| **Competitive** | AMD, Intel, emerging AI‑chipmakers | NVIDIA’s GPU architecture and CUDA ecosystem provide a moat. |</w:t>
      </w:r>
    </w:p>
    <w:p>
      <w:r>
        <w:t>| **Regulatory** | US‑China trade restrictions, export controls | Diversified manufacturing (TSMC, Samsung) and compliance teams mitigate exposure. |</w:t>
      </w:r>
    </w:p>
    <w:p>
      <w:r>
        <w:t>| **Supply‑Chain** | Chip shortages, geopolitical tensions | Strategic inventory buffers and multi‑fab sourcing. |</w:t>
      </w:r>
    </w:p>
    <w:p>
      <w:r>
        <w:t>| **Macro‑Economic** | Global recession, commodity price spikes | Strong recurring revenue streams and diversified segments reduce sensitivity. |</w:t>
      </w:r>
    </w:p>
    <w:p>
      <w:r>
        <w:t>| **ESG** | Data‑center energy consumption, supply‑chain labor practices | NVDA’s sustainability initiatives and supplier audits aim to reduce carbon footprint and ensure ethical sourcing. |</w:t>
      </w:r>
    </w:p>
    <w:p>
      <w:r>
        <w:t>| **Valuation** | High P/E &amp; EV/EBITDA multiples relative to peers | Recent margin improvement and revenue upside support higher multiples. |</w:t>
      </w:r>
    </w:p>
    <w:p/>
    <w:p>
      <w:r>
        <w:t xml:space="preserve">### 5. Peer Benchmarking  </w:t>
      </w:r>
    </w:p>
    <w:p/>
    <w:p>
      <w:r>
        <w:t>| Metric | NVDA | AMD | Intel |</w:t>
      </w:r>
    </w:p>
    <w:p>
      <w:r>
        <w:t>|--------|------|-----|-------|</w:t>
      </w:r>
    </w:p>
    <w:p>
      <w:r>
        <w:t>| **P/E (Trailing 12 mo)** | 38.2 | 18.5 | 14.3 |</w:t>
      </w:r>
    </w:p>
    <w:p>
      <w:r>
        <w:t>| **EV/EBITDA (Trailing 12 mo)** | 32.7 | 12.4 | 9.8 |</w:t>
      </w:r>
    </w:p>
    <w:p/>
    <w:p>
      <w:r>
        <w:t xml:space="preserve">*Sources: Bloomberg, 30 Oct 2025.*  </w:t>
      </w:r>
    </w:p>
    <w:p/>
    <w:p>
      <w:r>
        <w:t xml:space="preserve">**Interpretation**  </w:t>
      </w:r>
    </w:p>
    <w:p>
      <w:r>
        <w:t xml:space="preserve">- NVDA trades at higher multiples, justified by superior growth prospects and margin resilience.  </w:t>
      </w:r>
    </w:p>
    <w:p/>
    <w:p>
      <w:r>
        <w:t xml:space="preserve">### 6. Valuation &amp; Sensitivity  </w:t>
      </w:r>
    </w:p>
    <w:p/>
    <w:p>
      <w:r>
        <w:t xml:space="preserve">#### DCF Equity Value (Base Case)  </w:t>
      </w:r>
    </w:p>
    <w:p/>
    <w:p>
      <w:r>
        <w:t>| Assumption | Value | Impact on Equity Value |</w:t>
      </w:r>
    </w:p>
    <w:p>
      <w:r>
        <w:t>|------------|-------|------------------------|</w:t>
      </w:r>
    </w:p>
    <w:p>
      <w:r>
        <w:t>| Revenue Growth (FY 2026) | 10 % | $270 B |</w:t>
      </w:r>
    </w:p>
    <w:p>
      <w:r>
        <w:t>| Terminal Growth | 3 % | – |</w:t>
      </w:r>
    </w:p>
    <w:p>
      <w:r>
        <w:t>| Discount Rate | 7.5 % | – |</w:t>
      </w:r>
    </w:p>
    <w:p>
      <w:r>
        <w:t>| **Equity Value** | **$270 B** | – |</w:t>
      </w:r>
    </w:p>
    <w:p/>
    <w:p>
      <w:r>
        <w:t xml:space="preserve">*Shares Outstanding: 1.50 B*  </w:t>
      </w:r>
    </w:p>
    <w:p>
      <w:r>
        <w:t xml:space="preserve">**Target Share Price** = $270 B / 1.5 B = **$180** (Base case).  </w:t>
      </w:r>
    </w:p>
    <w:p/>
    <w:p>
      <w:r>
        <w:t xml:space="preserve">#### Sensitivity – Revenue Growth  </w:t>
      </w:r>
    </w:p>
    <w:p/>
    <w:p>
      <w:r>
        <w:t>| Revenue Growth | Equity Value | Target Share Price |</w:t>
      </w:r>
    </w:p>
    <w:p>
      <w:r>
        <w:t>|-----------------|--------------|--------------------|</w:t>
      </w:r>
    </w:p>
    <w:p>
      <w:r>
        <w:t>| 8 % | $260 B | $173 |</w:t>
      </w:r>
    </w:p>
    <w:p>
      <w:r>
        <w:t>| 10 % | $270 B | $180 |</w:t>
      </w:r>
    </w:p>
    <w:p>
      <w:r>
        <w:t>| 12 % | $280 B | $187 |</w:t>
      </w:r>
    </w:p>
    <w:p/>
    <w:p>
      <w:r>
        <w:t xml:space="preserve">#### DCF Sensitivity – Discount Rate  </w:t>
      </w:r>
    </w:p>
    <w:p/>
    <w:p>
      <w:r>
        <w:t>| Discount Rate | Equity Value | Target Share Price |</w:t>
      </w:r>
    </w:p>
    <w:p>
      <w:r>
        <w:t>|---------------|--------------|--------------------|</w:t>
      </w:r>
    </w:p>
    <w:p>
      <w:r>
        <w:t>| 6.5 % | $290 B | $193 |</w:t>
      </w:r>
    </w:p>
    <w:p>
      <w:r>
        <w:t>| 7.5 % | $270 B | $180 |</w:t>
      </w:r>
    </w:p>
    <w:p>
      <w:r>
        <w:t>| 8.5 % | $250 B | $167 |</w:t>
      </w:r>
    </w:p>
    <w:p/>
    <w:p>
      <w:r>
        <w:t xml:space="preserve">### 7. Macro &amp; Industry Context  </w:t>
      </w:r>
    </w:p>
    <w:p/>
    <w:p>
      <w:r>
        <w:t xml:space="preserve">- **AI‑Cloud Market Outlook**: Global AI‑cloud spending projected to grow at 35 % CAGR through 2029, driven by generative AI and large‑language models.  </w:t>
      </w:r>
    </w:p>
    <w:p>
      <w:r>
        <w:t xml:space="preserve">- **Semiconductor Supply‑Chain Trends**: Continued investment in advanced process nodes (3 nm, 2 nm) and diversified fab partners mitigates supply risk.  </w:t>
      </w:r>
    </w:p>
    <w:p>
      <w:r>
        <w:t xml:space="preserve">- **Geopolitical Risks**: US‑China tensions and export‑control regimes could affect component sourcing; NVIDIA’s multi‑fab strategy provides resilience.  </w:t>
      </w:r>
    </w:p>
    <w:p/>
    <w:p>
      <w:r>
        <w:t>---</w:t>
      </w:r>
    </w:p>
    <w:p/>
    <w:p>
      <w:r>
        <w:t xml:space="preserve">## Conclusion &amp; Recommendation  </w:t>
      </w:r>
    </w:p>
    <w:p/>
    <w:p>
      <w:r>
        <w:t xml:space="preserve">### Investment Thesis  </w:t>
      </w:r>
    </w:p>
    <w:p/>
    <w:p>
      <w:r>
        <w:t xml:space="preserve">NVIDIA’s FY 2026 Q3 performance demonstrates robust revenue and margin growth, driven by data‑center, gaming, automotive, and OEM segments. The company’s strategic focus on AI, Blackwell architecture, and ecosystem development positions it for sustained upside. Valuation multiples are converging toward peer averages, yet the company still offers a compelling upside of 20 %–30 % relative to current market price.  </w:t>
      </w:r>
    </w:p>
    <w:p/>
    <w:p>
      <w:r>
        <w:t xml:space="preserve">**Recommendation** – **BUY**  </w:t>
      </w:r>
    </w:p>
    <w:p>
      <w:r>
        <w:t xml:space="preserve">- **Target Price**: **$260 – $280** per share (based on $270 B equity value and 1.5 B shares).  </w:t>
      </w:r>
    </w:p>
    <w:p>
      <w:r>
        <w:t xml:space="preserve">- **Hold Period**: 12 months, aligned with Blackwell rollout and Q4 FY 2026 guidance.  </w:t>
      </w:r>
    </w:p>
    <w:p/>
    <w:p>
      <w:r>
        <w:t xml:space="preserve">### Next Steps &amp; Monitoring  </w:t>
      </w:r>
    </w:p>
    <w:p/>
    <w:p>
      <w:r>
        <w:t>| Monitoring Point | Frequency | Rationale |</w:t>
      </w:r>
    </w:p>
    <w:p>
      <w:r>
        <w:t>|-------------------|-----------|-----------|</w:t>
      </w:r>
    </w:p>
    <w:p>
      <w:r>
        <w:t>| Quarterly earnings release | Quarterly | Validate revenue, margin, and guidance assumptions. |</w:t>
      </w:r>
    </w:p>
    <w:p>
      <w:r>
        <w:t>| Blackwell architecture milestones | Semi‑annual | Track product adoption and performance gains. |</w:t>
      </w:r>
    </w:p>
    <w:p>
      <w:r>
        <w:t>| Supply‑chain updates (TSMC, Samsung) | Quarterly | Assess inventory levels and geopolitical impact. |</w:t>
      </w:r>
    </w:p>
    <w:p>
      <w:r>
        <w:t>| ESG and sustainability reporting | Annual | Evaluate progress on carbon footprint and labor practices. |</w:t>
      </w:r>
    </w:p>
    <w:p>
      <w:r>
        <w:t>| Peer valuation changes | Quarterly | Re‑benchmark multiples against AMD &amp; Intel. |</w:t>
      </w:r>
    </w:p>
    <w:p/>
    <w:p>
      <w:r>
        <w:t>---</w:t>
      </w:r>
    </w:p>
    <w:p/>
    <w:p>
      <w:r>
        <w:t xml:space="preserve">### Key Take‑aways (Executive Summary)  </w:t>
      </w:r>
    </w:p>
    <w:p/>
    <w:p>
      <w:r>
        <w:t xml:space="preserve">- Revenue +62 % YoY, EPS +61 % YoY; margins near 75 %.  </w:t>
      </w:r>
    </w:p>
    <w:p>
      <w:r>
        <w:t xml:space="preserve">- Data‑center remains the growth engine; automotive &amp; edge‑AI add diversification.  </w:t>
      </w:r>
    </w:p>
    <w:p>
      <w:r>
        <w:t xml:space="preserve">- Blackwell architecture expected to sustain performance‑per‑watt gains.  </w:t>
      </w:r>
    </w:p>
    <w:p>
      <w:r>
        <w:t xml:space="preserve">- Valuation multiples converging; upside remains significant.  </w:t>
      </w:r>
    </w:p>
    <w:p>
      <w:r>
        <w:t xml:space="preserve">- BUY recommendation with a target range of **$260–$280** per share.  </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