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Технофорс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Цяпа Игорь Николаевич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Технофорс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36560388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Киев, 01021, ул.М.Грушевского, 282, нп №43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+380952903739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UA53 3808 0500 0000 0026 0083 4971 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У  М.КИЄВІ</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365603805623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100237506</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