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"Кліринг Вектор"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Кравченко Євгеній Ігорович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"Кліринг Вектор"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42512426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01054 м. Київ, Шевченківський район, вул. Ярославов Вал, буд. 132 литера 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0503843444   0503119555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26006069081901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      АТ АЛЬФА-БАНК   код ЄДРПОУ 234947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425124226593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1926594502469</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