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Кузнецова Александра Георгиевна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ООО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ОГРН 1147746120367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127282, г. Москва, Чермянский проезд, д.7, этаж 3, помещение II, комната 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(495) 150-24-34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40702810938000068878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Московский банк ПАО «Сбербанка России»</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БИК 044525225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7715991803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