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2734МБ-20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20.01.2020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ПрАТ "Богуславська сільгосптехніка"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Гавриленко Петро Миколайович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ПрАТ "Богуславська сільгосптехніка"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03744178</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09701, Київська область, м. Богуслав, вул. Миколаївська, буд. 133.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(04561) 5-57-46, 4-25-82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UA7032098000002600220362388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"ПроКредит 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320984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037441710032</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