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"ДЖЕНЬЮІН"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Байковський Євгеній Олегович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"ДЖЕНЬЮІН"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43045872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04050, м.Київ, вул. Глибочицька, будинок 44-Б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0675490038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UA973802690000026007056241529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Столична філія АТ КБ «Приватбанк» в м.Києві</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380269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430458726599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