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2798МБ-20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"НВП "Темп-3000"</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Чепурной Александр Борисович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"НВП "Темп-3000"</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31778043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Киев, 01033, ул Жилянская 45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+380669160196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26001060297579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371180426508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37036545</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