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2842МБ-21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01.03.2021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"КАМПО ТРЕЙД"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Булах Л. В.</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"КАМПО ТРЕЙД"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43949357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 Сосницька 10, кв, 91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+380638327650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UA743348510000000026004139227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«ПУМБ»</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43949357</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439493526537</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