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2847МБ-21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18.03.2021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"ЛІБЕР ПЛЮС"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Твердоступова Вадима Анатолійовича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"ЛІБЕР ПЛЮС"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44048015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03110, м. Київ, вул. Пироговського Олександра, б. 19, к. 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+380733190041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UA533206270000026004013086999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"СБЕРБАНК"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320627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2997114133</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