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2920МБ-21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10.01.2022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"НАФТА ІМПОРТ"</w:t>
      </w:r>
      <w:r>
        <w:rPr>
          <w:rFonts w:ascii="Times New Roman" w:hAnsi="Times New Roman"/>
          <w:sz w:val="20"/>
          <w:szCs w:val="20"/>
        </w:rPr>
        <w:t xml:space="preserve">, в особі директора </w:t>
      </w:r>
      <w:r>
        <w:rPr>
          <w:rFonts w:ascii="Times New Roman" w:hAnsi="Times New Roman"/>
          <w:b/>
          <w:bCs/>
          <w:sz w:val="20"/>
          <w:szCs w:val="20"/>
        </w:rPr>
        <w:t xml:space="preserve">  Контемиров Євген Валерійович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"НАФТА ІМПОРТ"</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44201871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65006, Одеська обл., мисто Одеса, вул.Балкивська, будинок 52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+380684039167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UA61 307123 00000 26001010969416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ПАО «БАНК ВОСТОК»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307123</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442018715531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2115534500662</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