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3048МБ-24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09.04.2024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ВIДПОВIДАЛЬНIСТЮ "ТАД КОНСТРАКШН ГРУП"</w:t>
      </w:r>
      <w:r>
        <w:rPr>
          <w:rFonts w:ascii="Times New Roman" w:hAnsi="Times New Roman"/>
          <w:sz w:val="20"/>
          <w:szCs w:val="20"/>
        </w:rPr>
        <w:t xml:space="preserve">, в особі директора </w:t>
      </w:r>
      <w:r>
        <w:rPr>
          <w:rFonts w:ascii="Times New Roman" w:hAnsi="Times New Roman"/>
          <w:b/>
          <w:bCs/>
          <w:sz w:val="20"/>
          <w:szCs w:val="20"/>
        </w:rPr>
        <w:t xml:space="preserve">Труфанов Артем Дмитрович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ВIДПОВIДАЛЬНIСТЮ "ТАД КОНСТРАКШН ГРУП"</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41940182</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Україна, 08205, Київська обл., м .Ірпінь, вул.Виговського, будинок № 1, корпус я, оф.37</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(067) 233-19-39</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UA623006580000026009046100978;  UA893057490000026001000019242; UA193052990000026006030109525</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«ПІРЕУС БАНК МКБ; АТ «БАНК КРЕДИТ ДНІПРО»; 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419401810316</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