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3057МБ-24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09.05.2024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«ТЕКСА»</w:t>
      </w:r>
      <w:r>
        <w:rPr>
          <w:rFonts w:ascii="Times New Roman" w:hAnsi="Times New Roman"/>
          <w:sz w:val="20"/>
          <w:szCs w:val="20"/>
        </w:rPr>
        <w:t xml:space="preserve">, в особі директора </w:t>
      </w:r>
      <w:r>
        <w:rPr>
          <w:rFonts w:ascii="Times New Roman" w:hAnsi="Times New Roman"/>
          <w:b/>
          <w:bCs/>
          <w:sz w:val="20"/>
          <w:szCs w:val="20"/>
        </w:rPr>
        <w:t xml:space="preserve">І.В. Михайлова  </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«ТЕКСА»</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32303500</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Україна, 08200, Київська обл., Бучанський р-н, місто Ірпінь, вул.Стельмаха Михайла, будинок 9-А, офіс 506</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 (044) 451-83-21</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UA703006140000026007500138086</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"Креді Агріколь Банк", м. КИЇВ</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300614</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323035026542</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 36789903</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