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3068МБ-24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02.07.2024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Інститут фізики НАН України</w:t>
      </w:r>
      <w:r>
        <w:rPr>
          <w:rFonts w:ascii="Times New Roman" w:hAnsi="Times New Roman"/>
          <w:sz w:val="20"/>
          <w:szCs w:val="20"/>
        </w:rPr>
        <w:t xml:space="preserve">, в особі директора </w:t>
      </w:r>
      <w:r>
        <w:rPr>
          <w:rFonts w:ascii="Times New Roman" w:hAnsi="Times New Roman"/>
          <w:b/>
          <w:bCs/>
          <w:sz w:val="20"/>
          <w:szCs w:val="20"/>
        </w:rPr>
        <w:t xml:space="preserve">Бондар Михайло Віталійович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Інститут фізики НАН України</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05417302</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Проспект Науки, 46, м. Київ, 03028</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+380445255658, +380445255279, +380674076798</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UA558201720343181005200011638</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ДКСУ у м. Києві</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820172</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054173026500</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37082839</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