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3073МБ-24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16.07.2024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"ФУД ТЕХ ІНЖИНІРІНГ” </w:t>
      </w:r>
      <w:r>
        <w:rPr>
          <w:rFonts w:ascii="Times New Roman" w:hAnsi="Times New Roman"/>
          <w:sz w:val="20"/>
          <w:szCs w:val="20"/>
        </w:rPr>
        <w:t xml:space="preserve">, в особі директора </w:t>
      </w:r>
      <w:r>
        <w:rPr>
          <w:rFonts w:ascii="Times New Roman" w:hAnsi="Times New Roman"/>
          <w:b/>
          <w:bCs/>
          <w:sz w:val="20"/>
          <w:szCs w:val="20"/>
        </w:rPr>
        <w:t xml:space="preserve">Мусійчук Віктора Миколайовича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"ФУД ТЕХ ІНЖИНІРІНГ” </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36866123</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04080, м. Київ, вул. Кирилівська, буд. 86</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+380504561306</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UA833510050000026008280105500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„УкрСиббанк”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351005</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