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3082МБ-24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ДейріКо</w:t>
      </w:r>
      <w:r>
        <w:rPr>
          <w:rFonts w:ascii="Times New Roman" w:hAnsi="Times New Roman"/>
          <w:sz w:val="20"/>
          <w:szCs w:val="20"/>
        </w:rPr>
        <w:t xml:space="preserve">, в особі директора </w:t>
      </w:r>
      <w:r>
        <w:rPr>
          <w:rFonts w:ascii="Times New Roman" w:hAnsi="Times New Roman"/>
          <w:b/>
          <w:bCs/>
          <w:sz w:val="20"/>
          <w:szCs w:val="20"/>
        </w:rPr>
        <w:t xml:space="preserve">Т.в.о. Лягушніков Володимир Антонович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ДейріКо</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40392270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03115, м. Київ, пр. Берестейський, 118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0670101701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UA503348510000000002600793974</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403922713223</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