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3089МБ-24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07.10.2024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«Агро-мел»</w:t>
      </w:r>
      <w:r>
        <w:rPr>
          <w:rFonts w:ascii="Times New Roman" w:hAnsi="Times New Roman"/>
          <w:sz w:val="20"/>
          <w:szCs w:val="20"/>
        </w:rPr>
        <w:t xml:space="preserve">, в особі директора </w:t>
      </w:r>
      <w:r>
        <w:rPr>
          <w:rFonts w:ascii="Times New Roman" w:hAnsi="Times New Roman"/>
          <w:b/>
          <w:bCs/>
          <w:sz w:val="20"/>
          <w:szCs w:val="20"/>
        </w:rPr>
        <w:t xml:space="preserve">Семенюк Олександра Сергіївна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«Агро-мел»</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45365566</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Україна, 04078, м. Київ, вул. Данченка Сергія, буд. 1, корп. 2, кв. (оф.) 83</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+38(095)-332-80-97</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UA663209840000026001210446310</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«ПроКредит 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320984</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453655626568</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