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3120МБ-25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31.03.2025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"ЕДВАНС"</w:t>
      </w:r>
      <w:r>
        <w:rPr>
          <w:rFonts w:ascii="Times New Roman" w:hAnsi="Times New Roman"/>
          <w:sz w:val="20"/>
          <w:szCs w:val="20"/>
        </w:rPr>
        <w:t xml:space="preserve">, в особі директора </w:t>
      </w:r>
      <w:r>
        <w:rPr>
          <w:rFonts w:ascii="Times New Roman" w:hAnsi="Times New Roman"/>
          <w:b/>
          <w:bCs/>
          <w:sz w:val="20"/>
          <w:szCs w:val="20"/>
        </w:rPr>
        <w:t xml:space="preserve">Варава Богдан Юрійович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"ЕДВАНС"</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30264533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01103, м.Київ, вул.Кіквідзе, буд.11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+380675058991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UA203348510000000026005114661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«ПУМБ»</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14282829</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100034491</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