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3123МБ-25</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11.04.2025</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"СТАЛЬКОМ-ІНВЕСТ"</w:t>
      </w:r>
      <w:r>
        <w:rPr>
          <w:rFonts w:ascii="Times New Roman" w:hAnsi="Times New Roman"/>
          <w:sz w:val="20"/>
          <w:szCs w:val="20"/>
        </w:rPr>
        <w:t xml:space="preserve">, в особі директора </w:t>
      </w:r>
      <w:r>
        <w:rPr>
          <w:rFonts w:ascii="Times New Roman" w:hAnsi="Times New Roman"/>
          <w:b/>
          <w:bCs/>
          <w:sz w:val="20"/>
          <w:szCs w:val="20"/>
        </w:rPr>
        <w:t xml:space="preserve">Панасюк Віктор Миколайович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"СТАЛЬКОМ-ІНВЕСТ"</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39176786</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49051, м. Дніпро, вул. Олександра Оцупа буд.2 офіс 1</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 (056)376-95-70</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 84 300528 00000 26003455003101</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в АТ «ОТП Банк» м. Київ</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300528</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391767804643</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 1404644500058</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