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2432МБ-18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28.02.2018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НВФ Робікон</w:t>
      </w:r>
      <w:r w:rsidRPr="00FB42BB">
        <w:rPr>
          <w:rFonts w:ascii="Times New Roman" w:hAnsi="Times New Roman"/>
          <w:sz w:val="20"/>
          <w:szCs w:val="20"/>
        </w:rPr>
        <w:t xml:space="preserve">, в особі директора Потанін Анатолій Юрійович,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 НВФ Робікон</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32825921</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Вишгородський район, с.Демидів, вул.Радгоспна 6-А</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044-586-26-33</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26004522076700</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УкрСибБанк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328259226550</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100145344</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