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2438МБ-18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16.03.2018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Лайт Енд Світло Компані</w:t>
      </w:r>
      <w:r w:rsidRPr="00FB42BB">
        <w:rPr>
          <w:rFonts w:ascii="Times New Roman" w:hAnsi="Times New Roman"/>
          <w:sz w:val="20"/>
          <w:szCs w:val="20"/>
        </w:rPr>
        <w:t xml:space="preserve">, в особі директора Кравцова Анатолія Євгенійовича ,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Товариство з обмеженою відповідальністю Лайт Енд Світло Компані</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39218836</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УКРАЇНА, 08141, КИЇВСЬКА ОБЛАСТЬ, КИЄВО-СВЯТОШИНСЬКИЙ РАЙОН Р-Н, С.СВЯТОПЕТРIВСЬКЕ, ВУЛ. ТЕПЛИЧНА, БУД. 38, КВ. (ОФІС) 276</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+38098946648</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26005612846300</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ВАТ Укрсиббанк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101314061105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