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2448МБ-18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06.04.2018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АГРОЭКСПОРТ ЛТД</w:t>
      </w:r>
      <w:proofErr w:type="spellStart"/>
      <w:proofErr w:type="spellEnd"/>
      <w:r w:rsidRPr="00FB42BB">
        <w:rPr>
          <w:rFonts w:ascii="Times New Roman" w:hAnsi="Times New Roman"/>
          <w:sz w:val="20"/>
          <w:szCs w:val="20"/>
        </w:rPr>
        <w:t xml:space="preserve">, в особі директора Бервиненко Виталий Петрович,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АГРОЭКСПОРТ ЛТД</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38683786</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Васильковская 30 офис 301 Киев 03022 Украина</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 93 663 00 68</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26002056120629</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380775</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386837826505</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