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2452МБ-18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25.04.2018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УЛЬТРАЛАЙН</w:t>
      </w:r>
      <w:proofErr w:type="spellStart"/>
      <w:proofErr w:type="spellEnd"/>
      <w:r w:rsidRPr="00FB42BB">
        <w:rPr>
          <w:rFonts w:ascii="Times New Roman" w:hAnsi="Times New Roman"/>
          <w:sz w:val="20"/>
          <w:szCs w:val="20"/>
        </w:rPr>
        <w:t xml:space="preserve">, в особі директора Лугін В.В.,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УЛЬТРАЛАЙН</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40322643</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03061,м.Київ, вул. Машинобудівна,будинок 35 А</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093198-25-52</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26006052770859</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Печерська філія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4032264265582</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