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2466МБ-18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15.06.2018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"ПРОЕКТО-БУДІВЕЛЬНА КОМПАНІЯ "ЕНЕРГОПРОЕКТ"</w:t>
      </w:r>
      <w:proofErr w:type="spellStart"/>
      <w:proofErr w:type="spellEnd"/>
      <w:r w:rsidRPr="00FB42BB">
        <w:rPr>
          <w:rFonts w:ascii="Times New Roman" w:hAnsi="Times New Roman"/>
          <w:sz w:val="20"/>
          <w:szCs w:val="20"/>
        </w:rPr>
        <w:t xml:space="preserve">, в особі директора Придій Сергій Вікторович,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"ПРОЕКТО-БУДІВЕЛЬНА КОМПАНІЯ "ЕНЕРГОПРОЕКТ"</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0041697914</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10029, Житомирська обл., м. Житомир, вул. М. Грушевського, буд. 91, офіс 4</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+380978255795, +380638767361</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26001024372401</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"Альфа-Банк"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416979106258</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1906254500048</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