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2482МБ-18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21.08.2018</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"ЕКРАН"</w:t>
      </w:r>
      <w:bookmarkStart w:id="0" w:name="_GoBack"/>
      <w:bookmarkEnd w:id="0"/>
      <w:r>
        <w:rPr>
          <w:rFonts w:ascii="Times New Roman" w:hAnsi="Times New Roman"/>
          <w:sz w:val="20"/>
          <w:szCs w:val="20"/>
        </w:rPr>
        <w:t xml:space="preserve">», в особі директора Карпінський Зіновій Євстахійович,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Товариство з обмеженою відповідальністю "ЕКРАН"</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22415836</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03245 4 00 18</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26001000004251</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ПАТ "ВіЕс Банк"</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325213</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224158313110</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