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02.12.2018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"Комтел"</w:t>
      </w:r>
      <w:r>
        <w:rPr>
          <w:rFonts w:ascii="Times New Roman" w:hAnsi="Times New Roman"/>
          <w:sz w:val="20"/>
          <w:szCs w:val="20"/>
        </w:rPr>
        <w:t xml:space="preserve">, в особі директора </w:t>
      </w:r>
      <w:r>
        <w:rPr>
          <w:rFonts w:ascii="Times New Roman" w:hAnsi="Times New Roman"/>
          <w:b/>
          <w:bCs/>
          <w:sz w:val="20"/>
          <w:szCs w:val="20"/>
        </w:rPr>
        <w:t xml:space="preserve">ХОМЕНКО ЄВГЕН ЮРІЙОВИЧ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"Комтел"</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30856848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01103, м.Київ, вул.Кіквідзе,11</w:t>
            </w:r>
          </w:p>
          <w:p>
            <w:pPr>
              <w:spacing w:after="0" w:line="240" w:lineRule="auto"/>
              <w:rPr>
                <w:rFonts w:ascii="Times New Roman" w:hAnsi="Times New Roman"/>
                <w:sz w:val="18"/>
                <w:szCs w:val="18"/>
              </w:rPr>
            </w:pPr>
            <w:r>
              <w:rPr>
                <w:rFonts w:ascii="Times New Roman" w:hAnsi="Times New Roman"/>
                <w:sz w:val="18"/>
                <w:szCs w:val="18"/>
              </w:rPr>
              <w:t xml:space="preserve">телефон ‎+380503525997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351005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