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2511МБ-18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10.12.2018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Савченко Євгеній Володимирович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Савченко Євгеній Володимирович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Волкова, буд. 20, кв. 17</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3520113531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ТТ114882 виданий Деснянським РУ ГУ МВС України в м. Києві 6072012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