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"КОМЕРЦІЙНА ГРУПА АСКАНА"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МАЛАХОВ АНДРІЙ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"КОМЕРЦІЙНА ГРУПА АСКАНА"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42407304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03115, м.Київ, ВУЛИЦЯ ЛЬВИВСЬКА, будинок 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+380678283388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26002056134507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ФIЛIЯ "КИЇВСIТI" АТ КБ "ПРИВАТБАНК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380775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