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ООО</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Куканов Юрий Андреевич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ООО</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нет</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634021, Томская обл, Томск г, Фрунзе пр-кт, дом № 109А, оф. 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+7(914)669-6364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40702810923400001294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ФИЛИАЛ «НОВОСИБИРСКИЙ» АО «АЛЬФА-БАНК»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нет</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7017425950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нет в РФ</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