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2653МБ-19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17.07.2019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«АЙЕМЕС УКРАЇНА».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Штундюк Є.В</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«АЙЕМЕС УКРАЇНА».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39302723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04080, м. Київ, вул. Новокостянтинівська, 1В</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 222-77-41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26006500279850 980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«КРЕДІ АГРІКОЛЬ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300614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393027226569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1626564502627</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