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2656МБ-19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29.07.2019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"Триюга-ОМ"</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Шах Рагху Натх Прасад</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"Триюга-ОМ"</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32557167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03170, м.Київ, Кільцева дорога,8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044-502-39-98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26000448648700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"УкрСиббанк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325571626575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100343704</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