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2658МБ-19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30.07.2019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"ТРИЮГА - ОМ"</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ШАХ РАГХУ НАТХ ПРОСАД</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"ТРИЮГА - ОМ"</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32557167</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03170, м.Київ, Кільцева Дорога, буд. 8</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+38044443-11-40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"УКРСИББАНК"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351005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325571626575</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1526574502428</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