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2661МБ-19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05.08.2019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«ІНВЕСТ ОПТ ГРУП»</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Наханьков Володимир Сергійович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«ІНВЕСТ ОПТ ГРУП»</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43034572</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49021, Дніпропетровська обл., м. Дніпро, вул. Любарського, буд. 163, офіс 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(068) 486-78-21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26002001301562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«ЄПБ»</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377090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430345704617</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1 224 102 0000 090653</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