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2664МБ-19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14.08.2019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"СПРЕЙФОРС"</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ГАВРИЛЕНКО АНДРІЙ ПЕТРОВИЧ </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"СПРЕЙФОРС"</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35825526</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08800, Київська обл., Миронівський район, м. Миронівка, вул. Соборності, буд. 143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380445933597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"Райффайзен Банк Аваль"</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380805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