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2670МБ-19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19.08.2019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Приватне підприємство „ ПРОТОН”</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Бархоленко Андрій Миколайович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Приватне підприємство „ ПРОТОН”</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31516418</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04215, м. Київ, пр-т. Г.Гонгадзе  буд.20-Б, кв.59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(04598 )7-34-32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26004337317001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Філіал Розрахунковий центр ”ЗАТ КБ Приватбанк” м. Київ</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320649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315164126147</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100312143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