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2681МБ-19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17.09.2019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"Арттрейдінг"</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Яковенко Сергій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"Арттрейдінг"</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36107050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08132, Київська обл., м. Вишневе, вул. Київська, 19А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044-502-26-05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503209840000026008210391264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"ПроКредит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320984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361070510135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100341264</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