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«АСТЕРЛАЙН»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Бердиєв Тимур Курбанович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«АСТЕРЛАЙН»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43028140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02222, м. Київ, вул. Закревського Миколи, буд. 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 563005280000026004455069337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430281426529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