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Руденко</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Руденко Марина Миколаївна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Руденко</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35591059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Героїв Дніпра 12, кв.9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0502007872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26008001106466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"Глобус"</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380526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2690502701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немає</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