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"Наша Майстерня"</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Евсеева А.Ю.</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"Наша Майстерня"</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40196931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65025, Одеська область, м. Одеса, 20-й км Старокиївської дороги, 1-А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(067)485-48-53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26003500201014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«КРЕДІ АГРІКОЛЬ БАНК» м.Київ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