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„ФЕНІКС ТРАНС СЕРВІС”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Набатов Андрій Альбертович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„ФЕНІКС ТРАНС СЕРВІС”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0032424433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02121, м. Київ, вул. Колекторна, буд. 1-А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(044)223-48-12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UA263808160000000026002013975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ПАT "Банк СІЧ"</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324244326578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