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«Завод харчових інгредієнтів»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Радіонов Радіон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«Завод харчових інгредієнтів»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 38715215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08300, Київська обл.,  м. Бориспіль,  вул. Броварська, 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(044)459-39-49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77 321842 00000 26005053146569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банк Київське ГРУ АТ КБ «Приватбанк» м. Бориспіль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387152123203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1510284500130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