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"ГЕРКОС"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Геронімуса Костянтина Миколайовича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"ГЕРКОС"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41729118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07330, Київська обл, Вишгородський р-н, смт. Димер, вул. Петровського 73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0639543806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UA383007110000026005052686751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Печерська філія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