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2754МБ-20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09.04.2020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Ві енд джі груп</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Гладченко Світлана Борисівна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Ві енд джі груп</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41661296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03035, м. Київ, вул. Сурікова 3, оф. 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+380507723643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UA493348510000000002600939783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"ПУМБ"</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416612926584</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