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«Аметрін ФК»</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Пилипчук Костянтин Павлович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«Аметрін ФК»</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38218086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 Гайдара, 27, кв. 26, м. Київ 01033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+ 38 057 714 0603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UA263348510000000002600590803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382180826502</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