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2761МБ-20</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07.05.2020</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 «БІІР ПРОПЕРТІ»</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Сіллесен Нільс Томас  </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 «БІІР ПРОПЕРТІ»</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41168795</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UA083206490000026001052611836 в Філії «Розрахунковий центр» ПАТ КБ «Приватбанк», м. Київ, МФО 320649</w:t>
            </w:r>
            <w:bookmarkStart w:id="5" w:name="_GoBack"/>
            <w:bookmarkEnd w:id="5"/>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Україна, 65009, Одеська область, місто Одеса, провулок Віце-Адмірала Жукова, 1719, пр. 14</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0664528888</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UA483808050000000026001560097</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Райффайзен банк “Аваль”, м.Київ</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380805</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411687915530</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5B5E2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1376</Words>
  <Characters>7848</Characters>
  <Application>Microsoft Office Word</Application>
  <DocSecurity>0</DocSecurity>
  <Lines>65</Lines>
  <Paragraphs>18</Paragraphs>
  <ScaleCrop>false</ScaleCrop>
  <Company>*</Company>
  <LinksUpToDate>false</LinksUpToDate>
  <CharactersWithSpaces>9206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15</cp:revision>
  <dcterms:created xsi:type="dcterms:W3CDTF">2018-02-08T09:04:00Z</dcterms:created>
  <dcterms:modified xsi:type="dcterms:W3CDTF">2020-01-22T07:11:00Z</dcterms:modified>
</cp:coreProperties>
</file>